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0EFC" w14:textId="77777777" w:rsidR="00130BF8" w:rsidRDefault="00130BF8">
      <w:pPr>
        <w:rPr>
          <w:lang w:val="en-GB"/>
        </w:rPr>
      </w:pPr>
      <w:r>
        <w:rPr>
          <w:lang w:val="en-GB"/>
        </w:rPr>
        <w:t xml:space="preserve">XBRL FRANCE – </w:t>
      </w:r>
      <w:r w:rsidR="00406DF8" w:rsidRPr="00406DF8">
        <w:rPr>
          <w:lang w:val="en-GB"/>
        </w:rPr>
        <w:t>Comments</w:t>
      </w:r>
      <w:r>
        <w:rPr>
          <w:lang w:val="en-GB"/>
        </w:rPr>
        <w:t xml:space="preserve">, </w:t>
      </w:r>
      <w:r w:rsidR="00406DF8" w:rsidRPr="00406DF8">
        <w:rPr>
          <w:lang w:val="en-GB"/>
        </w:rPr>
        <w:t xml:space="preserve">questions </w:t>
      </w:r>
      <w:r>
        <w:rPr>
          <w:lang w:val="en-GB"/>
        </w:rPr>
        <w:t xml:space="preserve">and suggestions </w:t>
      </w:r>
      <w:r w:rsidR="00406DF8" w:rsidRPr="00406DF8">
        <w:rPr>
          <w:lang w:val="en-GB"/>
        </w:rPr>
        <w:t xml:space="preserve">on </w:t>
      </w:r>
      <w:r>
        <w:rPr>
          <w:lang w:val="en-GB"/>
        </w:rPr>
        <w:t xml:space="preserve">the </w:t>
      </w:r>
      <w:r w:rsidR="00406DF8" w:rsidRPr="00406DF8">
        <w:rPr>
          <w:lang w:val="en-GB"/>
        </w:rPr>
        <w:t>ESEF Reporting Man</w:t>
      </w:r>
      <w:r w:rsidR="00406DF8">
        <w:rPr>
          <w:lang w:val="en-GB"/>
        </w:rPr>
        <w:t xml:space="preserve">ual </w:t>
      </w:r>
    </w:p>
    <w:p w14:paraId="4E0EEC66" w14:textId="0855E69A" w:rsidR="007F07B9" w:rsidRDefault="00406DF8">
      <w:pPr>
        <w:rPr>
          <w:lang w:val="en-GB"/>
        </w:rPr>
      </w:pPr>
      <w:r>
        <w:rPr>
          <w:lang w:val="en-GB"/>
        </w:rPr>
        <w:t>Update</w:t>
      </w:r>
      <w:r w:rsidR="00130BF8">
        <w:rPr>
          <w:lang w:val="en-GB"/>
        </w:rPr>
        <w:t xml:space="preserve"> July 2025</w:t>
      </w:r>
    </w:p>
    <w:p w14:paraId="35113F68" w14:textId="77777777" w:rsidR="004C5115" w:rsidRDefault="004C5115">
      <w:pPr>
        <w:rPr>
          <w:lang w:val="en-GB"/>
        </w:rPr>
      </w:pPr>
    </w:p>
    <w:tbl>
      <w:tblPr>
        <w:tblStyle w:val="TableGrid"/>
        <w:tblW w:w="10107" w:type="dxa"/>
        <w:tblLook w:val="04A0" w:firstRow="1" w:lastRow="0" w:firstColumn="1" w:lastColumn="0" w:noHBand="0" w:noVBand="1"/>
      </w:tblPr>
      <w:tblGrid>
        <w:gridCol w:w="1112"/>
        <w:gridCol w:w="873"/>
        <w:gridCol w:w="8122"/>
      </w:tblGrid>
      <w:tr w:rsidR="004C5115" w:rsidRPr="004C5115" w14:paraId="759D3E7B" w14:textId="08B3C511" w:rsidTr="007834F2">
        <w:tc>
          <w:tcPr>
            <w:tcW w:w="1112" w:type="dxa"/>
            <w:shd w:val="clear" w:color="auto" w:fill="4472C4" w:themeFill="accent1"/>
          </w:tcPr>
          <w:p w14:paraId="037D7690" w14:textId="042A5F6F" w:rsidR="004C5115" w:rsidRPr="004C5115" w:rsidRDefault="004C5115">
            <w:pPr>
              <w:rPr>
                <w:color w:val="FFFFFF" w:themeColor="background1"/>
                <w:lang w:val="en-GB"/>
              </w:rPr>
            </w:pPr>
            <w:r w:rsidRPr="004C5115">
              <w:rPr>
                <w:color w:val="FFFFFF" w:themeColor="background1"/>
                <w:lang w:val="en-GB"/>
              </w:rPr>
              <w:t>Reference</w:t>
            </w:r>
          </w:p>
        </w:tc>
        <w:tc>
          <w:tcPr>
            <w:tcW w:w="873" w:type="dxa"/>
            <w:shd w:val="clear" w:color="auto" w:fill="4472C4" w:themeFill="accent1"/>
          </w:tcPr>
          <w:p w14:paraId="7F3A2B54" w14:textId="2255F589" w:rsidR="004C5115" w:rsidRPr="004C5115" w:rsidRDefault="004C5115">
            <w:pPr>
              <w:rPr>
                <w:color w:val="FFFFFF" w:themeColor="background1"/>
                <w:lang w:val="en-GB"/>
              </w:rPr>
            </w:pPr>
            <w:r w:rsidRPr="004C5115">
              <w:rPr>
                <w:color w:val="FFFFFF" w:themeColor="background1"/>
                <w:lang w:val="en-GB"/>
              </w:rPr>
              <w:t>2024 Update</w:t>
            </w:r>
          </w:p>
        </w:tc>
        <w:tc>
          <w:tcPr>
            <w:tcW w:w="8122" w:type="dxa"/>
            <w:shd w:val="clear" w:color="auto" w:fill="4472C4" w:themeFill="accent1"/>
          </w:tcPr>
          <w:p w14:paraId="739BDC90" w14:textId="5FFABEBE" w:rsidR="004C5115" w:rsidRPr="004C5115" w:rsidRDefault="004C5115">
            <w:pPr>
              <w:rPr>
                <w:color w:val="FFFFFF" w:themeColor="background1"/>
                <w:lang w:val="en-GB"/>
              </w:rPr>
            </w:pPr>
            <w:r w:rsidRPr="004C5115">
              <w:rPr>
                <w:color w:val="FFFFFF" w:themeColor="background1"/>
                <w:lang w:val="en-GB"/>
              </w:rPr>
              <w:t>Comment/question</w:t>
            </w:r>
          </w:p>
        </w:tc>
      </w:tr>
      <w:tr w:rsidR="004C5115" w:rsidRPr="0009331D" w14:paraId="7FDC3D77" w14:textId="3D6973C7" w:rsidTr="007834F2">
        <w:tc>
          <w:tcPr>
            <w:tcW w:w="1112" w:type="dxa"/>
          </w:tcPr>
          <w:p w14:paraId="266C0065" w14:textId="2E209508" w:rsidR="004C5115" w:rsidRDefault="004C5115">
            <w:pPr>
              <w:rPr>
                <w:lang w:val="en-GB"/>
              </w:rPr>
            </w:pPr>
            <w:r>
              <w:rPr>
                <w:lang w:val="en-GB"/>
              </w:rPr>
              <w:t>Guidance 1.2.1</w:t>
            </w:r>
          </w:p>
        </w:tc>
        <w:tc>
          <w:tcPr>
            <w:tcW w:w="873" w:type="dxa"/>
          </w:tcPr>
          <w:p w14:paraId="1857EAED" w14:textId="33B163D3" w:rsidR="004C5115" w:rsidRDefault="004C5115">
            <w:pPr>
              <w:rPr>
                <w:lang w:val="en-GB"/>
              </w:rPr>
            </w:pPr>
            <w:r>
              <w:rPr>
                <w:lang w:val="en-GB"/>
              </w:rPr>
              <w:t>No</w:t>
            </w:r>
          </w:p>
        </w:tc>
        <w:tc>
          <w:tcPr>
            <w:tcW w:w="8122" w:type="dxa"/>
          </w:tcPr>
          <w:p w14:paraId="118B6FB0" w14:textId="36F4FD74" w:rsidR="004C5115" w:rsidRDefault="00130BF8">
            <w:pPr>
              <w:rPr>
                <w:lang w:val="en-GB"/>
              </w:rPr>
            </w:pPr>
            <w:r w:rsidRPr="00130BF8">
              <w:rPr>
                <w:lang w:val="en-GB"/>
              </w:rPr>
              <w:t>In the third paragraph, the citation of Annex IV.3 of the RTS on ESEF appears to be inaccurate. The correct reference should likely be to point 3 of the RTS (2018/815) instead.</w:t>
            </w:r>
            <w:r w:rsidR="004C5115">
              <w:rPr>
                <w:noProof/>
              </w:rPr>
              <w:drawing>
                <wp:inline distT="0" distB="0" distL="0" distR="0" wp14:anchorId="2D7E57A2" wp14:editId="7D40D089">
                  <wp:extent cx="4751913" cy="851699"/>
                  <wp:effectExtent l="0" t="0" r="0" b="5715"/>
                  <wp:docPr id="14604941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94148" name=""/>
                          <pic:cNvPicPr/>
                        </pic:nvPicPr>
                        <pic:blipFill>
                          <a:blip r:embed="rId5"/>
                          <a:stretch>
                            <a:fillRect/>
                          </a:stretch>
                        </pic:blipFill>
                        <pic:spPr>
                          <a:xfrm>
                            <a:off x="0" y="0"/>
                            <a:ext cx="4832667" cy="866173"/>
                          </a:xfrm>
                          <a:prstGeom prst="rect">
                            <a:avLst/>
                          </a:prstGeom>
                        </pic:spPr>
                      </pic:pic>
                    </a:graphicData>
                  </a:graphic>
                </wp:inline>
              </w:drawing>
            </w:r>
          </w:p>
        </w:tc>
      </w:tr>
      <w:tr w:rsidR="00FF5CC0" w:rsidRPr="0009331D" w14:paraId="4073590C" w14:textId="77777777" w:rsidTr="007834F2">
        <w:tc>
          <w:tcPr>
            <w:tcW w:w="1112" w:type="dxa"/>
          </w:tcPr>
          <w:p w14:paraId="7B0B47C3" w14:textId="4FC0F4B0" w:rsidR="00FF5CC0" w:rsidRDefault="00FF5CC0">
            <w:pPr>
              <w:rPr>
                <w:lang w:val="en-GB"/>
              </w:rPr>
            </w:pPr>
            <w:r>
              <w:rPr>
                <w:lang w:val="en-GB"/>
              </w:rPr>
              <w:t>Guidance 1.2.2</w:t>
            </w:r>
          </w:p>
        </w:tc>
        <w:tc>
          <w:tcPr>
            <w:tcW w:w="873" w:type="dxa"/>
          </w:tcPr>
          <w:p w14:paraId="7ACD00E4" w14:textId="281D50EA" w:rsidR="00FF5CC0" w:rsidRDefault="00FF5CC0">
            <w:pPr>
              <w:rPr>
                <w:lang w:val="en-GB"/>
              </w:rPr>
            </w:pPr>
            <w:r>
              <w:rPr>
                <w:lang w:val="en-GB"/>
              </w:rPr>
              <w:t>Yes</w:t>
            </w:r>
          </w:p>
        </w:tc>
        <w:tc>
          <w:tcPr>
            <w:tcW w:w="8122" w:type="dxa"/>
          </w:tcPr>
          <w:p w14:paraId="76EC8E0A" w14:textId="2E8A57D3" w:rsidR="0009331D" w:rsidRDefault="0009331D" w:rsidP="00130BF8">
            <w:pPr>
              <w:rPr>
                <w:lang w:val="en-GB"/>
              </w:rPr>
            </w:pPr>
            <w:r>
              <w:rPr>
                <w:lang w:val="en-GB"/>
              </w:rPr>
              <w:t>The example about PPE and Right of use Assets is now outdated.</w:t>
            </w:r>
          </w:p>
          <w:p w14:paraId="0DAA95D5" w14:textId="491FB555" w:rsidR="00130BF8" w:rsidRPr="00130BF8" w:rsidRDefault="00130BF8" w:rsidP="00130BF8">
            <w:pPr>
              <w:rPr>
                <w:lang w:val="en-GB"/>
              </w:rPr>
            </w:pPr>
            <w:r w:rsidRPr="00130BF8">
              <w:rPr>
                <w:lang w:val="en-GB"/>
              </w:rPr>
              <w:t>Th</w:t>
            </w:r>
            <w:r w:rsidR="0009331D">
              <w:rPr>
                <w:lang w:val="en-GB"/>
              </w:rPr>
              <w:t>e last</w:t>
            </w:r>
            <w:r w:rsidRPr="00130BF8">
              <w:rPr>
                <w:lang w:val="en-GB"/>
              </w:rPr>
              <w:t xml:space="preserve"> addition is </w:t>
            </w:r>
            <w:r w:rsidR="0009331D">
              <w:rPr>
                <w:lang w:val="en-GB"/>
              </w:rPr>
              <w:t xml:space="preserve">also </w:t>
            </w:r>
            <w:r w:rsidRPr="00130BF8">
              <w:rPr>
                <w:lang w:val="en-GB"/>
              </w:rPr>
              <w:t>making the guidance in 1.2.2 more confusing, as it appears to contradict the initial guidance:</w:t>
            </w:r>
          </w:p>
          <w:p w14:paraId="6442BA02" w14:textId="77777777" w:rsidR="00130BF8" w:rsidRPr="00130BF8" w:rsidRDefault="00130BF8" w:rsidP="00130BF8">
            <w:pPr>
              <w:numPr>
                <w:ilvl w:val="0"/>
                <w:numId w:val="5"/>
              </w:numPr>
              <w:rPr>
                <w:lang w:val="en-GB"/>
              </w:rPr>
            </w:pPr>
            <w:r w:rsidRPr="00130BF8">
              <w:rPr>
                <w:lang w:val="en-GB"/>
              </w:rPr>
              <w:t>In the first paragraph, it is stated that issuers “should” define an extension taxonomy element that matches a forthcoming taxonomy element, which seems to be required even when not essential for overall usability of the ESEF file</w:t>
            </w:r>
          </w:p>
          <w:p w14:paraId="6EE6D051" w14:textId="77777777" w:rsidR="00130BF8" w:rsidRPr="00130BF8" w:rsidRDefault="00130BF8" w:rsidP="00130BF8">
            <w:pPr>
              <w:numPr>
                <w:ilvl w:val="0"/>
                <w:numId w:val="5"/>
              </w:numPr>
              <w:rPr>
                <w:lang w:val="en-GB"/>
              </w:rPr>
            </w:pPr>
            <w:r w:rsidRPr="00130BF8">
              <w:rPr>
                <w:lang w:val="en-GB"/>
              </w:rPr>
              <w:t>In the added paragraph, it is stated that the definition of such an extension is “voluntary” and in no way “mandated” (not even recommended)</w:t>
            </w:r>
          </w:p>
          <w:p w14:paraId="25A8312D" w14:textId="16699514" w:rsidR="00FF5CC0" w:rsidRDefault="00130BF8">
            <w:pPr>
              <w:rPr>
                <w:lang w:val="en-GB"/>
              </w:rPr>
            </w:pPr>
            <w:r w:rsidRPr="00130BF8">
              <w:rPr>
                <w:lang w:val="en-GB"/>
              </w:rPr>
              <w:t>It would be helpful to clearly articulate the purpose of guidance 1.2.2 (presumably to ensure that all issuers apply the latest concepts added to the IFRS taxonomy, regardless of the ESEF taxonomy they employ, thereby facilitating comparability), and to define its status (must/should/recommended/other) with greater precision.</w:t>
            </w:r>
            <w:r w:rsidR="0009331D">
              <w:rPr>
                <w:lang w:val="en-GB"/>
              </w:rPr>
              <w:t xml:space="preserve"> It would be even be better to clarify the point in the RTS.</w:t>
            </w:r>
          </w:p>
        </w:tc>
      </w:tr>
      <w:tr w:rsidR="004C5115" w14:paraId="66243DC1" w14:textId="2D4876F9" w:rsidTr="007834F2">
        <w:tc>
          <w:tcPr>
            <w:tcW w:w="1112" w:type="dxa"/>
          </w:tcPr>
          <w:p w14:paraId="3F2F075A" w14:textId="554B6F95" w:rsidR="004C5115" w:rsidRDefault="001B3BA9">
            <w:pPr>
              <w:rPr>
                <w:lang w:val="en-GB"/>
              </w:rPr>
            </w:pPr>
            <w:r>
              <w:rPr>
                <w:lang w:val="en-GB"/>
              </w:rPr>
              <w:t>Guidance 1.2.2</w:t>
            </w:r>
          </w:p>
        </w:tc>
        <w:tc>
          <w:tcPr>
            <w:tcW w:w="873" w:type="dxa"/>
          </w:tcPr>
          <w:p w14:paraId="0A39CAC2" w14:textId="6511C595" w:rsidR="004C5115" w:rsidRDefault="001B3BA9">
            <w:pPr>
              <w:rPr>
                <w:lang w:val="en-GB"/>
              </w:rPr>
            </w:pPr>
            <w:r>
              <w:rPr>
                <w:lang w:val="en-GB"/>
              </w:rPr>
              <w:t>No</w:t>
            </w:r>
          </w:p>
        </w:tc>
        <w:tc>
          <w:tcPr>
            <w:tcW w:w="8122" w:type="dxa"/>
          </w:tcPr>
          <w:p w14:paraId="15D328C2" w14:textId="6B88E1D3" w:rsidR="001B3BA9" w:rsidRPr="00130BF8" w:rsidRDefault="0009331D">
            <w:pPr>
              <w:rPr>
                <w:lang w:val="en-GB"/>
              </w:rPr>
            </w:pPr>
            <w:r>
              <w:rPr>
                <w:lang w:val="en-GB"/>
              </w:rPr>
              <w:t>I</w:t>
            </w:r>
            <w:r w:rsidR="00130BF8" w:rsidRPr="00130BF8">
              <w:rPr>
                <w:lang w:val="en-GB"/>
              </w:rPr>
              <w:t>t appears that the reference in the final paragraph to Annex III.1 of the RTS on ESEF may be incorrect. It should likely refer to Annex II.1 of the RTS instead.</w:t>
            </w:r>
          </w:p>
          <w:p w14:paraId="50090599" w14:textId="73BDCDB8" w:rsidR="001B3BA9" w:rsidRDefault="001B3BA9">
            <w:pPr>
              <w:rPr>
                <w:lang w:val="en-GB"/>
              </w:rPr>
            </w:pPr>
            <w:r>
              <w:rPr>
                <w:noProof/>
              </w:rPr>
              <w:drawing>
                <wp:inline distT="0" distB="0" distL="0" distR="0" wp14:anchorId="5389EE99" wp14:editId="75A0CCC3">
                  <wp:extent cx="4647765" cy="931397"/>
                  <wp:effectExtent l="0" t="0" r="635" b="2540"/>
                  <wp:docPr id="16959439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43992" name=""/>
                          <pic:cNvPicPr/>
                        </pic:nvPicPr>
                        <pic:blipFill>
                          <a:blip r:embed="rId6"/>
                          <a:stretch>
                            <a:fillRect/>
                          </a:stretch>
                        </pic:blipFill>
                        <pic:spPr>
                          <a:xfrm>
                            <a:off x="0" y="0"/>
                            <a:ext cx="4676798" cy="937215"/>
                          </a:xfrm>
                          <a:prstGeom prst="rect">
                            <a:avLst/>
                          </a:prstGeom>
                        </pic:spPr>
                      </pic:pic>
                    </a:graphicData>
                  </a:graphic>
                </wp:inline>
              </w:drawing>
            </w:r>
          </w:p>
        </w:tc>
      </w:tr>
      <w:tr w:rsidR="004C5115" w:rsidRPr="0009331D" w14:paraId="14C94B79" w14:textId="367CDAB7" w:rsidTr="007834F2">
        <w:tc>
          <w:tcPr>
            <w:tcW w:w="1112" w:type="dxa"/>
          </w:tcPr>
          <w:p w14:paraId="4E434E12" w14:textId="56C28C74" w:rsidR="004C5115" w:rsidRDefault="007C4168">
            <w:pPr>
              <w:rPr>
                <w:lang w:val="en-GB"/>
              </w:rPr>
            </w:pPr>
            <w:r>
              <w:rPr>
                <w:lang w:val="en-GB"/>
              </w:rPr>
              <w:t>Guidance 2.2.5</w:t>
            </w:r>
          </w:p>
        </w:tc>
        <w:tc>
          <w:tcPr>
            <w:tcW w:w="873" w:type="dxa"/>
          </w:tcPr>
          <w:p w14:paraId="0716E7DA" w14:textId="3E5D1000" w:rsidR="004C5115" w:rsidRDefault="00AA4F4D">
            <w:pPr>
              <w:rPr>
                <w:lang w:val="en-GB"/>
              </w:rPr>
            </w:pPr>
            <w:r>
              <w:rPr>
                <w:lang w:val="en-GB"/>
              </w:rPr>
              <w:t>Y</w:t>
            </w:r>
            <w:r w:rsidR="007C4168">
              <w:rPr>
                <w:lang w:val="en-GB"/>
              </w:rPr>
              <w:t>es</w:t>
            </w:r>
          </w:p>
        </w:tc>
        <w:tc>
          <w:tcPr>
            <w:tcW w:w="8122" w:type="dxa"/>
          </w:tcPr>
          <w:p w14:paraId="20883FD1" w14:textId="3433847C" w:rsidR="007C4168" w:rsidRDefault="007C4168">
            <w:pPr>
              <w:rPr>
                <w:lang w:val="en-GB"/>
              </w:rPr>
            </w:pPr>
            <w:r>
              <w:rPr>
                <w:lang w:val="en-GB"/>
              </w:rPr>
              <w:t>The new guidance on tagging nil values in the statement of changes of equity does not really help</w:t>
            </w:r>
          </w:p>
          <w:p w14:paraId="5B0A5257" w14:textId="4FD4CCA7" w:rsidR="004C5115" w:rsidRDefault="007C4168">
            <w:pPr>
              <w:rPr>
                <w:lang w:val="en-GB"/>
              </w:rPr>
            </w:pPr>
            <w:r>
              <w:rPr>
                <w:lang w:val="en-GB"/>
              </w:rPr>
              <w:t xml:space="preserve">What would be helpful would be to provide guidance as to </w:t>
            </w:r>
            <w:r w:rsidR="00AA4F4D">
              <w:rPr>
                <w:lang w:val="en-GB"/>
              </w:rPr>
              <w:t xml:space="preserve">exactly </w:t>
            </w:r>
            <w:r>
              <w:rPr>
                <w:lang w:val="en-GB"/>
              </w:rPr>
              <w:t>which nil values should be tagged in a statement of changes in equity.</w:t>
            </w:r>
          </w:p>
          <w:p w14:paraId="16AA5628" w14:textId="2EDBB4BD" w:rsidR="007C4168" w:rsidRDefault="007C4168">
            <w:pPr>
              <w:rPr>
                <w:lang w:val="en-GB"/>
              </w:rPr>
            </w:pPr>
            <w:r>
              <w:rPr>
                <w:lang w:val="en-GB"/>
              </w:rPr>
              <w:t>e.g. if the line “Issue of equity” is empty in the following example, which data should be tagged as zero?</w:t>
            </w:r>
          </w:p>
          <w:p w14:paraId="5EFE9BCF" w14:textId="1C0121C9" w:rsidR="007C4168" w:rsidRDefault="00AA4F4D">
            <w:pPr>
              <w:rPr>
                <w:lang w:val="en-GB"/>
              </w:rPr>
            </w:pPr>
            <w:r>
              <w:rPr>
                <w:noProof/>
              </w:rPr>
              <w:drawing>
                <wp:inline distT="0" distB="0" distL="0" distR="0" wp14:anchorId="7279CAB2" wp14:editId="73249393">
                  <wp:extent cx="5020803" cy="485920"/>
                  <wp:effectExtent l="0" t="0" r="0" b="9525"/>
                  <wp:docPr id="4275158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15831" name=""/>
                          <pic:cNvPicPr/>
                        </pic:nvPicPr>
                        <pic:blipFill>
                          <a:blip r:embed="rId7"/>
                          <a:stretch>
                            <a:fillRect/>
                          </a:stretch>
                        </pic:blipFill>
                        <pic:spPr>
                          <a:xfrm>
                            <a:off x="0" y="0"/>
                            <a:ext cx="5097504" cy="493343"/>
                          </a:xfrm>
                          <a:prstGeom prst="rect">
                            <a:avLst/>
                          </a:prstGeom>
                        </pic:spPr>
                      </pic:pic>
                    </a:graphicData>
                  </a:graphic>
                </wp:inline>
              </w:drawing>
            </w:r>
          </w:p>
          <w:p w14:paraId="3EAF167B" w14:textId="51E17625" w:rsidR="007C4168" w:rsidRDefault="007C4168">
            <w:pPr>
              <w:rPr>
                <w:lang w:val="en-GB"/>
              </w:rPr>
            </w:pPr>
            <w:r>
              <w:rPr>
                <w:lang w:val="en-GB"/>
              </w:rPr>
              <w:t xml:space="preserve">- </w:t>
            </w:r>
            <w:r w:rsidR="00AA4F4D">
              <w:rPr>
                <w:lang w:val="en-GB"/>
              </w:rPr>
              <w:t>All of them (presumably no, as some intersections eg IssueOfEquity/AOCI are unlikely)</w:t>
            </w:r>
          </w:p>
          <w:p w14:paraId="7117AB5F" w14:textId="53B067DE" w:rsidR="00AA4F4D" w:rsidRDefault="00AA4F4D">
            <w:pPr>
              <w:rPr>
                <w:lang w:val="en-GB"/>
              </w:rPr>
            </w:pPr>
            <w:r>
              <w:rPr>
                <w:lang w:val="en-GB"/>
              </w:rPr>
              <w:t>- All of the intersections that would be generally expected to be filled in should there be an issue of equity during the period (eg Issued Capital, SharePremium, EquityAttributableToParent, Equity)</w:t>
            </w:r>
            <w:r w:rsidR="005512F2">
              <w:rPr>
                <w:lang w:val="en-GB"/>
              </w:rPr>
              <w:t>;</w:t>
            </w:r>
          </w:p>
          <w:p w14:paraId="6C85D50F" w14:textId="318D9793" w:rsidR="00130BF8" w:rsidRDefault="00AA4F4D">
            <w:pPr>
              <w:rPr>
                <w:lang w:val="en-GB"/>
              </w:rPr>
            </w:pPr>
            <w:r>
              <w:rPr>
                <w:lang w:val="en-GB"/>
              </w:rPr>
              <w:t>- The totals (EquityAttributableToParent and Equity), as having a zero for totals is clear enough that there is no issue of equity during the period</w:t>
            </w:r>
            <w:r w:rsidR="005512F2">
              <w:rPr>
                <w:lang w:val="en-GB"/>
              </w:rPr>
              <w:t>;</w:t>
            </w:r>
          </w:p>
          <w:p w14:paraId="3FB59A5F" w14:textId="37DBC2B1" w:rsidR="00130BF8" w:rsidRDefault="00130BF8" w:rsidP="00130BF8">
            <w:pPr>
              <w:rPr>
                <w:lang w:val="en-GB"/>
              </w:rPr>
            </w:pPr>
            <w:r w:rsidRPr="00130BF8">
              <w:rPr>
                <w:lang w:val="en-GB"/>
              </w:rPr>
              <w:t xml:space="preserve">The new guidance on tagging nil values in the statement of changes in equity lacks </w:t>
            </w:r>
            <w:r w:rsidRPr="00130BF8">
              <w:rPr>
                <w:lang w:val="en-GB"/>
              </w:rPr>
              <w:lastRenderedPageBreak/>
              <w:t xml:space="preserve">clarity. Clear instruction is needed on exactly which nil values should be tagged in </w:t>
            </w:r>
            <w:r>
              <w:rPr>
                <w:lang w:val="en-GB"/>
              </w:rPr>
              <w:t xml:space="preserve">the </w:t>
            </w:r>
            <w:r w:rsidRPr="00130BF8">
              <w:rPr>
                <w:lang w:val="en-GB"/>
              </w:rPr>
              <w:t>statement.</w:t>
            </w:r>
            <w:r w:rsidRPr="00130BF8">
              <w:rPr>
                <w:lang w:val="en-GB"/>
              </w:rPr>
              <w:br/>
              <w:t>For example, if the line “Issue of equity” is empty in the following case, which data points should be tagged as zero?</w:t>
            </w:r>
          </w:p>
          <w:p w14:paraId="1867B205" w14:textId="5D252070" w:rsidR="00130BF8" w:rsidRPr="00130BF8" w:rsidRDefault="00130BF8" w:rsidP="00130BF8">
            <w:pPr>
              <w:rPr>
                <w:lang w:val="en-GB"/>
              </w:rPr>
            </w:pPr>
            <w:r>
              <w:rPr>
                <w:noProof/>
              </w:rPr>
              <w:drawing>
                <wp:inline distT="0" distB="0" distL="0" distR="0" wp14:anchorId="745A527C" wp14:editId="481B4B2B">
                  <wp:extent cx="5020803" cy="485920"/>
                  <wp:effectExtent l="0" t="0" r="0" b="9525"/>
                  <wp:docPr id="18764674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15831" name=""/>
                          <pic:cNvPicPr/>
                        </pic:nvPicPr>
                        <pic:blipFill>
                          <a:blip r:embed="rId7"/>
                          <a:stretch>
                            <a:fillRect/>
                          </a:stretch>
                        </pic:blipFill>
                        <pic:spPr>
                          <a:xfrm>
                            <a:off x="0" y="0"/>
                            <a:ext cx="5097504" cy="493343"/>
                          </a:xfrm>
                          <a:prstGeom prst="rect">
                            <a:avLst/>
                          </a:prstGeom>
                        </pic:spPr>
                      </pic:pic>
                    </a:graphicData>
                  </a:graphic>
                </wp:inline>
              </w:drawing>
            </w:r>
          </w:p>
          <w:p w14:paraId="34EFF35F" w14:textId="5A0440F8" w:rsidR="00130BF8" w:rsidRPr="00130BF8" w:rsidRDefault="00130BF8" w:rsidP="00130BF8">
            <w:pPr>
              <w:numPr>
                <w:ilvl w:val="0"/>
                <w:numId w:val="6"/>
              </w:numPr>
              <w:rPr>
                <w:lang w:val="en-GB"/>
              </w:rPr>
            </w:pPr>
            <w:r w:rsidRPr="00130BF8">
              <w:rPr>
                <w:lang w:val="en-GB"/>
              </w:rPr>
              <w:t>All of them (presumably not, as certain intersections</w:t>
            </w:r>
            <w:r>
              <w:rPr>
                <w:lang w:val="en-GB"/>
              </w:rPr>
              <w:t>, such as</w:t>
            </w:r>
            <w:r w:rsidRPr="00130BF8">
              <w:rPr>
                <w:lang w:val="en-GB"/>
              </w:rPr>
              <w:t xml:space="preserve"> IssueOfEquity/AOCI</w:t>
            </w:r>
            <w:r>
              <w:rPr>
                <w:lang w:val="en-GB"/>
              </w:rPr>
              <w:t xml:space="preserve">, </w:t>
            </w:r>
            <w:r w:rsidRPr="00130BF8">
              <w:rPr>
                <w:lang w:val="en-GB"/>
              </w:rPr>
              <w:t>are implausible)</w:t>
            </w:r>
          </w:p>
          <w:p w14:paraId="74585A93" w14:textId="77777777" w:rsidR="00130BF8" w:rsidRPr="00130BF8" w:rsidRDefault="00130BF8" w:rsidP="00130BF8">
            <w:pPr>
              <w:numPr>
                <w:ilvl w:val="0"/>
                <w:numId w:val="6"/>
              </w:numPr>
              <w:rPr>
                <w:lang w:val="en-GB"/>
              </w:rPr>
            </w:pPr>
            <w:r w:rsidRPr="00130BF8">
              <w:rPr>
                <w:lang w:val="en-GB"/>
              </w:rPr>
              <w:t>All intersections that would typically be expected to contain data if an issue of equity had occurred during the period (e.g. Issued Capital, Share Premium, Equity Attributable to Parent, Equity)</w:t>
            </w:r>
          </w:p>
          <w:p w14:paraId="28DF029B" w14:textId="77777777" w:rsidR="00130BF8" w:rsidRDefault="00130BF8" w:rsidP="00130BF8">
            <w:pPr>
              <w:numPr>
                <w:ilvl w:val="0"/>
                <w:numId w:val="6"/>
              </w:numPr>
              <w:rPr>
                <w:lang w:val="en-GB"/>
              </w:rPr>
            </w:pPr>
            <w:r w:rsidRPr="00130BF8">
              <w:rPr>
                <w:lang w:val="en-GB"/>
              </w:rPr>
              <w:t>The totals (Equity Attributable to Parent and Equity), as tagging these with zero clearly communicates that no issue of equity took place during the period</w:t>
            </w:r>
          </w:p>
          <w:p w14:paraId="6EDF63A3" w14:textId="712BB079" w:rsidR="00130BF8" w:rsidRPr="00130BF8" w:rsidRDefault="00130BF8" w:rsidP="00130BF8">
            <w:pPr>
              <w:rPr>
                <w:lang w:val="en-GB"/>
              </w:rPr>
            </w:pPr>
            <w:r>
              <w:rPr>
                <w:lang w:val="en-GB"/>
              </w:rPr>
              <w:t>The last option appears as the most practical for a complete information without creating more burden.</w:t>
            </w:r>
          </w:p>
        </w:tc>
      </w:tr>
      <w:tr w:rsidR="004C5115" w:rsidRPr="0009331D" w14:paraId="179590D4" w14:textId="0AFE5729" w:rsidTr="007834F2">
        <w:tc>
          <w:tcPr>
            <w:tcW w:w="1112" w:type="dxa"/>
          </w:tcPr>
          <w:p w14:paraId="09611A0E" w14:textId="3E46F128" w:rsidR="004C5115" w:rsidRDefault="00C76D3E">
            <w:pPr>
              <w:rPr>
                <w:lang w:val="en-GB"/>
              </w:rPr>
            </w:pPr>
            <w:r>
              <w:rPr>
                <w:lang w:val="en-GB"/>
              </w:rPr>
              <w:lastRenderedPageBreak/>
              <w:t>Guidance 2.2.7</w:t>
            </w:r>
          </w:p>
        </w:tc>
        <w:tc>
          <w:tcPr>
            <w:tcW w:w="873" w:type="dxa"/>
          </w:tcPr>
          <w:p w14:paraId="6D314E4B" w14:textId="5EE56C4E" w:rsidR="004C5115" w:rsidRDefault="00C76D3E">
            <w:pPr>
              <w:rPr>
                <w:lang w:val="en-GB"/>
              </w:rPr>
            </w:pPr>
            <w:r>
              <w:rPr>
                <w:lang w:val="en-GB"/>
              </w:rPr>
              <w:t>Yes</w:t>
            </w:r>
          </w:p>
        </w:tc>
        <w:tc>
          <w:tcPr>
            <w:tcW w:w="8122" w:type="dxa"/>
          </w:tcPr>
          <w:p w14:paraId="4711543E" w14:textId="4B289376" w:rsidR="0085434E" w:rsidRDefault="00700733">
            <w:pPr>
              <w:rPr>
                <w:lang w:val="en-GB"/>
              </w:rPr>
            </w:pPr>
            <w:r>
              <w:rPr>
                <w:lang w:val="en-GB"/>
              </w:rPr>
              <w:t xml:space="preserve">Why should be the </w:t>
            </w:r>
            <w:r w:rsidR="00C76D3E">
              <w:rPr>
                <w:lang w:val="en-GB"/>
              </w:rPr>
              <w:t xml:space="preserve">escape attribute </w:t>
            </w:r>
            <w:r w:rsidR="0085434E">
              <w:rPr>
                <w:lang w:val="en-GB"/>
              </w:rPr>
              <w:t xml:space="preserve">always </w:t>
            </w:r>
            <w:r w:rsidR="00C76D3E">
              <w:rPr>
                <w:lang w:val="en-GB"/>
              </w:rPr>
              <w:t xml:space="preserve">be set to false for “string” items? </w:t>
            </w:r>
            <w:r>
              <w:rPr>
                <w:lang w:val="en-GB"/>
              </w:rPr>
              <w:t>S</w:t>
            </w:r>
            <w:r w:rsidR="00C76D3E">
              <w:rPr>
                <w:lang w:val="en-GB"/>
              </w:rPr>
              <w:t xml:space="preserve">ome of them </w:t>
            </w:r>
            <w:r w:rsidR="0085434E">
              <w:rPr>
                <w:lang w:val="en-GB"/>
              </w:rPr>
              <w:t xml:space="preserve">(eg </w:t>
            </w:r>
            <w:r w:rsidR="0085434E" w:rsidRPr="0085434E">
              <w:rPr>
                <w:lang w:val="en-GB"/>
              </w:rPr>
              <w:t>ExplanationOfAssumptionAboutFutureWithSignificantRiskOfResultingInMaterial</w:t>
            </w:r>
          </w:p>
          <w:p w14:paraId="245E4712" w14:textId="38748ADE" w:rsidR="00700733" w:rsidRDefault="0085434E">
            <w:pPr>
              <w:rPr>
                <w:lang w:val="en-GB"/>
              </w:rPr>
            </w:pPr>
            <w:r w:rsidRPr="0085434E">
              <w:rPr>
                <w:lang w:val="en-GB"/>
              </w:rPr>
              <w:t>Adjustments</w:t>
            </w:r>
            <w:r>
              <w:rPr>
                <w:lang w:val="en-GB"/>
              </w:rPr>
              <w:t>) may encompass</w:t>
            </w:r>
            <w:r w:rsidR="00C76D3E">
              <w:rPr>
                <w:lang w:val="en-GB"/>
              </w:rPr>
              <w:t xml:space="preserve"> large narrative content</w:t>
            </w:r>
            <w:r w:rsidR="005512F2">
              <w:rPr>
                <w:lang w:val="en-GB"/>
              </w:rPr>
              <w:t>.</w:t>
            </w:r>
            <w:r w:rsidR="0009331D">
              <w:rPr>
                <w:lang w:val="en-GB"/>
              </w:rPr>
              <w:t xml:space="preserve"> We propose to review their type in the taxonomy. </w:t>
            </w:r>
            <w:r w:rsidR="00700733">
              <w:rPr>
                <w:lang w:val="en-GB"/>
              </w:rPr>
              <w:t>As there is some confusion, it would be better to use a “true” value systematically.</w:t>
            </w:r>
          </w:p>
          <w:p w14:paraId="5A626595" w14:textId="6EAE00B6" w:rsidR="004C5115" w:rsidRDefault="0009331D">
            <w:pPr>
              <w:rPr>
                <w:lang w:val="en-GB"/>
              </w:rPr>
            </w:pPr>
            <w:r>
              <w:rPr>
                <w:lang w:val="en-GB"/>
              </w:rPr>
              <w:t xml:space="preserve">The ERM should also explicitly states that string items should tag only a few words or </w:t>
            </w:r>
            <w:r w:rsidR="00700733">
              <w:rPr>
                <w:lang w:val="en-GB"/>
              </w:rPr>
              <w:t xml:space="preserve">unformatted </w:t>
            </w:r>
            <w:r>
              <w:rPr>
                <w:lang w:val="en-GB"/>
              </w:rPr>
              <w:t>sentences</w:t>
            </w:r>
            <w:r w:rsidR="00700733">
              <w:rPr>
                <w:lang w:val="en-GB"/>
              </w:rPr>
              <w:t>.</w:t>
            </w:r>
          </w:p>
        </w:tc>
      </w:tr>
      <w:tr w:rsidR="004C5115" w:rsidRPr="00700733" w14:paraId="1FA4FDC0" w14:textId="0BDFECFC" w:rsidTr="007834F2">
        <w:tc>
          <w:tcPr>
            <w:tcW w:w="1112" w:type="dxa"/>
          </w:tcPr>
          <w:p w14:paraId="5FE1D8F9" w14:textId="5B19D390" w:rsidR="004C5115" w:rsidRDefault="00414BE5">
            <w:pPr>
              <w:rPr>
                <w:lang w:val="en-GB"/>
              </w:rPr>
            </w:pPr>
            <w:r>
              <w:rPr>
                <w:lang w:val="en-GB"/>
              </w:rPr>
              <w:t>Guidance 3.4.</w:t>
            </w:r>
            <w:r w:rsidR="007834F2">
              <w:rPr>
                <w:lang w:val="en-GB"/>
              </w:rPr>
              <w:t>8</w:t>
            </w:r>
          </w:p>
        </w:tc>
        <w:tc>
          <w:tcPr>
            <w:tcW w:w="873" w:type="dxa"/>
          </w:tcPr>
          <w:p w14:paraId="764DBEFE" w14:textId="290BBF62" w:rsidR="004C5115" w:rsidRDefault="00414BE5">
            <w:pPr>
              <w:rPr>
                <w:lang w:val="en-GB"/>
              </w:rPr>
            </w:pPr>
            <w:r>
              <w:rPr>
                <w:lang w:val="en-GB"/>
              </w:rPr>
              <w:t>Yes</w:t>
            </w:r>
          </w:p>
        </w:tc>
        <w:tc>
          <w:tcPr>
            <w:tcW w:w="8122" w:type="dxa"/>
          </w:tcPr>
          <w:p w14:paraId="1E67C57E" w14:textId="65CEDA73" w:rsidR="005512F2" w:rsidRPr="005512F2" w:rsidRDefault="005512F2" w:rsidP="005512F2">
            <w:pPr>
              <w:rPr>
                <w:lang w:val="en-GB"/>
              </w:rPr>
            </w:pPr>
            <w:r w:rsidRPr="005512F2">
              <w:rPr>
                <w:lang w:val="en-GB"/>
              </w:rPr>
              <w:t xml:space="preserve">The guidance concerning cross-period and cross-dimension calculations has been relocated from section 3.4.1 to the </w:t>
            </w:r>
            <w:r>
              <w:rPr>
                <w:lang w:val="en-GB"/>
              </w:rPr>
              <w:t xml:space="preserve">3.4.8 </w:t>
            </w:r>
            <w:r w:rsidRPr="005512F2">
              <w:rPr>
                <w:lang w:val="en-GB"/>
              </w:rPr>
              <w:t>section and substantially revised</w:t>
            </w:r>
            <w:r>
              <w:rPr>
                <w:lang w:val="en-GB"/>
              </w:rPr>
              <w:t xml:space="preserve">, </w:t>
            </w:r>
            <w:r w:rsidRPr="005512F2">
              <w:rPr>
                <w:lang w:val="en-GB"/>
              </w:rPr>
              <w:t>yet the change is neither explained in the introduction nor reflected in the summary table of updates.</w:t>
            </w:r>
          </w:p>
          <w:p w14:paraId="7C3C44D6" w14:textId="77777777" w:rsidR="005512F2" w:rsidRDefault="005512F2" w:rsidP="005512F2">
            <w:pPr>
              <w:rPr>
                <w:lang w:val="en-GB"/>
              </w:rPr>
            </w:pPr>
          </w:p>
          <w:p w14:paraId="0E102D4C" w14:textId="7725B276" w:rsidR="005512F2" w:rsidRDefault="005512F2" w:rsidP="005512F2">
            <w:pPr>
              <w:rPr>
                <w:lang w:val="en-GB"/>
              </w:rPr>
            </w:pPr>
            <w:r w:rsidRPr="005512F2">
              <w:rPr>
                <w:lang w:val="en-GB"/>
              </w:rPr>
              <w:t>This revision to the guidance is rather perplexing.</w:t>
            </w:r>
          </w:p>
          <w:p w14:paraId="3E08EAD5" w14:textId="77777777" w:rsidR="005512F2" w:rsidRPr="005512F2" w:rsidRDefault="005512F2" w:rsidP="005512F2">
            <w:pPr>
              <w:rPr>
                <w:lang w:val="en-GB"/>
              </w:rPr>
            </w:pPr>
          </w:p>
          <w:p w14:paraId="1DA66AC5" w14:textId="1E93BBF8" w:rsidR="005512F2" w:rsidRPr="005512F2" w:rsidRDefault="005512F2" w:rsidP="005512F2">
            <w:pPr>
              <w:rPr>
                <w:lang w:val="en-GB"/>
              </w:rPr>
            </w:pPr>
            <w:r w:rsidRPr="005512F2">
              <w:rPr>
                <w:lang w:val="en-GB"/>
              </w:rPr>
              <w:t>Previously, the reporting manual included clear direction on documenting cross-period calculations for both the statement of changes in equity and the statement of cash flows</w:t>
            </w:r>
            <w:r>
              <w:rPr>
                <w:lang w:val="en-GB"/>
              </w:rPr>
              <w:t xml:space="preserve">, </w:t>
            </w:r>
            <w:r w:rsidRPr="005512F2">
              <w:rPr>
                <w:lang w:val="en-GB"/>
              </w:rPr>
              <w:t>using an abstract, a start-period element, a change element, and an end-period element. That guidance has now been removed for the cash flow statement and replaced with a single example that is applicable only under limited circumstances</w:t>
            </w:r>
          </w:p>
          <w:p w14:paraId="18FF74A3" w14:textId="77777777" w:rsidR="005512F2" w:rsidRDefault="005512F2" w:rsidP="004D241E">
            <w:pPr>
              <w:rPr>
                <w:lang w:val="en-GB"/>
              </w:rPr>
            </w:pPr>
          </w:p>
          <w:p w14:paraId="421C1592" w14:textId="5D395081" w:rsidR="005512F2" w:rsidRPr="005512F2" w:rsidRDefault="005512F2" w:rsidP="005512F2">
            <w:pPr>
              <w:rPr>
                <w:lang w:val="en-GB"/>
              </w:rPr>
            </w:pPr>
            <w:r w:rsidRPr="005512F2">
              <w:rPr>
                <w:lang w:val="en-GB"/>
              </w:rPr>
              <w:t>This raises two issues:</w:t>
            </w:r>
          </w:p>
          <w:p w14:paraId="4A746133" w14:textId="77777777" w:rsidR="005512F2" w:rsidRPr="005512F2" w:rsidRDefault="005512F2" w:rsidP="005512F2">
            <w:pPr>
              <w:numPr>
                <w:ilvl w:val="0"/>
                <w:numId w:val="7"/>
              </w:numPr>
              <w:rPr>
                <w:lang w:val="en-GB"/>
              </w:rPr>
            </w:pPr>
            <w:r w:rsidRPr="005512F2">
              <w:rPr>
                <w:lang w:val="en-GB"/>
              </w:rPr>
              <w:t>How is the CFS example intended to support semi-automatic calculations in situations where the increase (decrease) in cash and cash equivalents is presented before the effects of exchange rate changes, or where other components are included in the reconciliation of cash balances (e.g. changes in the fair value of cash and cash equivalents at FVOCI, or impacts from subsidiaries classified as held for sale during the period)?</w:t>
            </w:r>
          </w:p>
          <w:p w14:paraId="6DC1AF3A" w14:textId="1F920BEC" w:rsidR="005512F2" w:rsidRDefault="005512F2" w:rsidP="005512F2">
            <w:pPr>
              <w:numPr>
                <w:ilvl w:val="0"/>
                <w:numId w:val="7"/>
              </w:numPr>
              <w:rPr>
                <w:lang w:val="en-GB"/>
              </w:rPr>
            </w:pPr>
            <w:r w:rsidRPr="005512F2">
              <w:rPr>
                <w:lang w:val="en-GB"/>
              </w:rPr>
              <w:t>What approach should be taken in cases where issuers have followed the previous guidance in the reporting manual</w:t>
            </w:r>
            <w:r>
              <w:rPr>
                <w:lang w:val="en-GB"/>
              </w:rPr>
              <w:t xml:space="preserve"> (</w:t>
            </w:r>
            <w:r w:rsidRPr="005512F2">
              <w:rPr>
                <w:lang w:val="en-GB"/>
              </w:rPr>
              <w:t>specifically by creating an abstract in the cash flow statement and subtly adjusting the presentation linkbase to comply with section 3.4.1</w:t>
            </w:r>
            <w:r>
              <w:rPr>
                <w:lang w:val="en-GB"/>
              </w:rPr>
              <w:t>)</w:t>
            </w:r>
            <w:r w:rsidRPr="005512F2">
              <w:rPr>
                <w:lang w:val="en-GB"/>
              </w:rPr>
              <w:t>? It remains to be determined whether this structure is still acceptable, particularly by analogy with the principle applied in the statement of changes in equity, and given the lack of a viable alternative to enable semi-automatic calculations, except in the basic case shown in the new CFS example (see point 1).</w:t>
            </w:r>
          </w:p>
          <w:p w14:paraId="6E705E12" w14:textId="77777777" w:rsidR="005512F2" w:rsidRPr="005512F2" w:rsidRDefault="005512F2" w:rsidP="005512F2">
            <w:pPr>
              <w:ind w:left="720"/>
              <w:rPr>
                <w:lang w:val="en-GB"/>
              </w:rPr>
            </w:pPr>
          </w:p>
          <w:p w14:paraId="3A6C2BC6" w14:textId="2960DF66" w:rsidR="005512F2" w:rsidRPr="005512F2" w:rsidRDefault="005512F2" w:rsidP="005512F2">
            <w:pPr>
              <w:rPr>
                <w:lang w:val="en-GB"/>
              </w:rPr>
            </w:pPr>
            <w:r w:rsidRPr="005512F2">
              <w:rPr>
                <w:lang w:val="en-GB"/>
              </w:rPr>
              <w:t xml:space="preserve">It’s worth recalling that </w:t>
            </w:r>
            <w:r>
              <w:rPr>
                <w:lang w:val="en-GB"/>
              </w:rPr>
              <w:t xml:space="preserve">there are still </w:t>
            </w:r>
            <w:r w:rsidRPr="005512F2">
              <w:rPr>
                <w:lang w:val="en-GB"/>
              </w:rPr>
              <w:t>frequent errors</w:t>
            </w:r>
            <w:r>
              <w:rPr>
                <w:lang w:val="en-GB"/>
              </w:rPr>
              <w:t xml:space="preserve"> in XBRL files, </w:t>
            </w:r>
            <w:r w:rsidRPr="005512F2">
              <w:rPr>
                <w:lang w:val="en-GB"/>
              </w:rPr>
              <w:t>such as signage, balance, date, or scaling issues. These are easily detectable when automatic or semi-automatic calculations are employed. Such calculations therefore play a crucial role in safeguarding data quality.</w:t>
            </w:r>
            <w:r>
              <w:rPr>
                <w:lang w:val="en-GB"/>
              </w:rPr>
              <w:t xml:space="preserve"> </w:t>
            </w:r>
          </w:p>
          <w:p w14:paraId="62D80D64" w14:textId="69FE4073" w:rsidR="005512F2" w:rsidRPr="005512F2" w:rsidRDefault="005512F2" w:rsidP="005512F2">
            <w:pPr>
              <w:rPr>
                <w:lang w:val="en-GB"/>
              </w:rPr>
            </w:pPr>
            <w:r w:rsidRPr="005512F2">
              <w:rPr>
                <w:lang w:val="en-GB"/>
              </w:rPr>
              <w:t>Furthermore, although the example from the previous reporting manual has been deleted, this removal is only partial. The paragraph below remains in the current version but no longer aligns with the updated guidance</w:t>
            </w:r>
            <w:r>
              <w:rPr>
                <w:lang w:val="en-GB"/>
              </w:rPr>
              <w:t xml:space="preserve">: </w:t>
            </w:r>
          </w:p>
          <w:p w14:paraId="2F4AEA67" w14:textId="147E72D5" w:rsidR="000C360C" w:rsidRDefault="000C360C" w:rsidP="00FC3659">
            <w:pPr>
              <w:rPr>
                <w:lang w:val="en-GB"/>
              </w:rPr>
            </w:pPr>
            <w:r>
              <w:rPr>
                <w:noProof/>
              </w:rPr>
              <w:drawing>
                <wp:inline distT="0" distB="0" distL="0" distR="0" wp14:anchorId="5208167E" wp14:editId="097DDAD1">
                  <wp:extent cx="4587528" cy="760037"/>
                  <wp:effectExtent l="0" t="0" r="0" b="0"/>
                  <wp:docPr id="7572983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98379" name=""/>
                          <pic:cNvPicPr/>
                        </pic:nvPicPr>
                        <pic:blipFill>
                          <a:blip r:embed="rId8"/>
                          <a:stretch>
                            <a:fillRect/>
                          </a:stretch>
                        </pic:blipFill>
                        <pic:spPr>
                          <a:xfrm>
                            <a:off x="0" y="0"/>
                            <a:ext cx="4627311" cy="766628"/>
                          </a:xfrm>
                          <a:prstGeom prst="rect">
                            <a:avLst/>
                          </a:prstGeom>
                        </pic:spPr>
                      </pic:pic>
                    </a:graphicData>
                  </a:graphic>
                </wp:inline>
              </w:drawing>
            </w:r>
          </w:p>
          <w:p w14:paraId="248EE5EA" w14:textId="77777777" w:rsidR="00700733" w:rsidRDefault="00700733" w:rsidP="00FC3659">
            <w:pPr>
              <w:rPr>
                <w:lang w:val="en-GB"/>
              </w:rPr>
            </w:pPr>
          </w:p>
          <w:p w14:paraId="245AFF1D" w14:textId="2DD89878" w:rsidR="00700733" w:rsidRDefault="00700733" w:rsidP="00FC3659">
            <w:pPr>
              <w:rPr>
                <w:lang w:val="en-GB"/>
              </w:rPr>
            </w:pPr>
            <w:r>
              <w:rPr>
                <w:lang w:val="en-GB"/>
              </w:rPr>
              <w:t>In general, we prefer ESMA to give clear practical/generic rules in the ERM, than examples that are subjects to much interpretation.</w:t>
            </w:r>
          </w:p>
          <w:p w14:paraId="28932995" w14:textId="501D2621" w:rsidR="004C5115" w:rsidRPr="00B532AC" w:rsidRDefault="00414BE5">
            <w:pPr>
              <w:rPr>
                <w:sz w:val="16"/>
                <w:szCs w:val="16"/>
                <w:lang w:val="en-GB"/>
              </w:rPr>
            </w:pPr>
            <w:r>
              <w:rPr>
                <w:lang w:val="en-GB"/>
              </w:rPr>
              <w:t xml:space="preserve"> </w:t>
            </w:r>
          </w:p>
        </w:tc>
      </w:tr>
      <w:tr w:rsidR="007834F2" w:rsidRPr="0009331D" w14:paraId="5766EAB7" w14:textId="77777777" w:rsidTr="007834F2">
        <w:tc>
          <w:tcPr>
            <w:tcW w:w="1112" w:type="dxa"/>
          </w:tcPr>
          <w:p w14:paraId="68405251" w14:textId="48D6ACC6" w:rsidR="007834F2" w:rsidRDefault="007C4420">
            <w:pPr>
              <w:rPr>
                <w:lang w:val="en-GB"/>
              </w:rPr>
            </w:pPr>
            <w:r>
              <w:rPr>
                <w:lang w:val="en-GB"/>
              </w:rPr>
              <w:lastRenderedPageBreak/>
              <w:t>Guidance 3.4.8</w:t>
            </w:r>
          </w:p>
        </w:tc>
        <w:tc>
          <w:tcPr>
            <w:tcW w:w="873" w:type="dxa"/>
          </w:tcPr>
          <w:p w14:paraId="06A2DEF2" w14:textId="4C34051B" w:rsidR="007834F2" w:rsidRDefault="007C4420">
            <w:pPr>
              <w:rPr>
                <w:lang w:val="en-GB"/>
              </w:rPr>
            </w:pPr>
            <w:r>
              <w:rPr>
                <w:lang w:val="en-GB"/>
              </w:rPr>
              <w:t>No</w:t>
            </w:r>
          </w:p>
        </w:tc>
        <w:tc>
          <w:tcPr>
            <w:tcW w:w="8122" w:type="dxa"/>
          </w:tcPr>
          <w:p w14:paraId="15933BDC" w14:textId="77777777" w:rsidR="007834F2" w:rsidRDefault="007C4420">
            <w:pPr>
              <w:rPr>
                <w:lang w:val="en-GB"/>
              </w:rPr>
            </w:pPr>
            <w:r w:rsidRPr="007C4420">
              <w:rPr>
                <w:lang w:val="en-GB"/>
              </w:rPr>
              <w:t>The description of calculations d</w:t>
            </w:r>
            <w:r>
              <w:rPr>
                <w:lang w:val="en-GB"/>
              </w:rPr>
              <w:t>oes not seem correct for items having no balance attribute.</w:t>
            </w:r>
          </w:p>
          <w:p w14:paraId="6969449B" w14:textId="77777777" w:rsidR="00FC3659" w:rsidRDefault="00FC3659">
            <w:pPr>
              <w:rPr>
                <w:lang w:val="en-GB"/>
              </w:rPr>
            </w:pPr>
          </w:p>
          <w:p w14:paraId="48020426" w14:textId="77777777" w:rsidR="00FC3659" w:rsidRDefault="007C4420">
            <w:pPr>
              <w:rPr>
                <w:lang w:val="en-GB"/>
              </w:rPr>
            </w:pPr>
            <w:r>
              <w:rPr>
                <w:lang w:val="en-GB"/>
              </w:rPr>
              <w:t xml:space="preserve">The sentence is as follows: “The plus sign is used in case a line item has no balance attribute (eg cash flows from (used in) operating activities)”. </w:t>
            </w:r>
          </w:p>
          <w:p w14:paraId="318C2B74" w14:textId="77777777" w:rsidR="00FC3659" w:rsidRDefault="00FC3659">
            <w:pPr>
              <w:rPr>
                <w:lang w:val="en-GB"/>
              </w:rPr>
            </w:pPr>
          </w:p>
          <w:p w14:paraId="314FA482" w14:textId="060F9796" w:rsidR="005512F2" w:rsidRPr="007C4420" w:rsidRDefault="005512F2">
            <w:pPr>
              <w:rPr>
                <w:lang w:val="en-GB"/>
              </w:rPr>
            </w:pPr>
            <w:r>
              <w:rPr>
                <w:lang w:val="en-GB"/>
              </w:rPr>
              <w:t>T</w:t>
            </w:r>
            <w:r w:rsidRPr="005512F2">
              <w:rPr>
                <w:lang w:val="en-GB"/>
              </w:rPr>
              <w:t>his holds true only when a nil balance corresponds to a debit in the cash flow statement or a credit in the statement of changes in equity. If the nil balance reflects a credit in the cash flow statement or a debit in the statement of equity, a minus sign must be applied to ensure the calculation is correct.</w:t>
            </w:r>
          </w:p>
        </w:tc>
      </w:tr>
      <w:tr w:rsidR="00773F29" w:rsidRPr="0009331D" w14:paraId="33EC9601" w14:textId="77777777" w:rsidTr="007834F2">
        <w:tc>
          <w:tcPr>
            <w:tcW w:w="1112" w:type="dxa"/>
          </w:tcPr>
          <w:p w14:paraId="3D9A346C" w14:textId="2FD2B201" w:rsidR="00773F29" w:rsidRDefault="00773F29">
            <w:pPr>
              <w:rPr>
                <w:lang w:val="en-GB"/>
              </w:rPr>
            </w:pPr>
            <w:r>
              <w:rPr>
                <w:lang w:val="en-GB"/>
              </w:rPr>
              <w:t>Guidance 1.3.3</w:t>
            </w:r>
          </w:p>
        </w:tc>
        <w:tc>
          <w:tcPr>
            <w:tcW w:w="873" w:type="dxa"/>
          </w:tcPr>
          <w:p w14:paraId="5FD9FAA2" w14:textId="02D13747" w:rsidR="00773F29" w:rsidRDefault="00773F29">
            <w:pPr>
              <w:rPr>
                <w:lang w:val="en-GB"/>
              </w:rPr>
            </w:pPr>
            <w:r>
              <w:rPr>
                <w:lang w:val="en-GB"/>
              </w:rPr>
              <w:t>No</w:t>
            </w:r>
          </w:p>
        </w:tc>
        <w:tc>
          <w:tcPr>
            <w:tcW w:w="8122" w:type="dxa"/>
          </w:tcPr>
          <w:p w14:paraId="065A8DDF" w14:textId="77777777" w:rsidR="00C10E33" w:rsidRDefault="00773F29" w:rsidP="00773F29">
            <w:pPr>
              <w:rPr>
                <w:lang w:val="en-GB"/>
              </w:rPr>
            </w:pPr>
            <w:r w:rsidRPr="00773F29">
              <w:rPr>
                <w:lang w:val="en-GB"/>
              </w:rPr>
              <w:t xml:space="preserve">It would be helpful to provide clarification regarding the </w:t>
            </w:r>
            <w:r>
              <w:rPr>
                <w:lang w:val="en-GB"/>
              </w:rPr>
              <w:t>use of mandatory tags</w:t>
            </w:r>
            <w:r w:rsidRPr="00773F29">
              <w:rPr>
                <w:lang w:val="en-GB"/>
              </w:rPr>
              <w:t xml:space="preserve">, particularly whether additional tags are required when one has already been applied. For example, it should be clarified whether, in cases where an entity does not separately disclose its principal place of business </w:t>
            </w:r>
            <w:r>
              <w:rPr>
                <w:lang w:val="en-GB"/>
              </w:rPr>
              <w:t>in the report,</w:t>
            </w:r>
            <w:r w:rsidRPr="00773F29">
              <w:rPr>
                <w:lang w:val="en-GB"/>
              </w:rPr>
              <w:t xml:space="preserve"> because it is identical to the registered office, the tag </w:t>
            </w:r>
            <w:r w:rsidRPr="00773F29">
              <w:rPr>
                <w:i/>
                <w:iCs/>
                <w:lang w:val="en-GB"/>
              </w:rPr>
              <w:t>PrincipalPlaceOfBusiness</w:t>
            </w:r>
            <w:r w:rsidRPr="00773F29">
              <w:rPr>
                <w:lang w:val="en-GB"/>
              </w:rPr>
              <w:t xml:space="preserve"> is not expected to be used (which may be preferable to ensure completeness without adding unnecessary workload), or conversely, whether the registered office </w:t>
            </w:r>
            <w:r>
              <w:rPr>
                <w:lang w:val="en-GB"/>
              </w:rPr>
              <w:t xml:space="preserve">address </w:t>
            </w:r>
            <w:r w:rsidRPr="00773F29">
              <w:rPr>
                <w:lang w:val="en-GB"/>
              </w:rPr>
              <w:t xml:space="preserve">should also be tagged with </w:t>
            </w:r>
            <w:r w:rsidRPr="00773F29">
              <w:rPr>
                <w:i/>
                <w:iCs/>
                <w:lang w:val="en-GB"/>
              </w:rPr>
              <w:t>PrincipalPlaceOfBusiness</w:t>
            </w:r>
            <w:r w:rsidRPr="00773F29">
              <w:rPr>
                <w:lang w:val="en-GB"/>
              </w:rPr>
              <w:t>.</w:t>
            </w:r>
          </w:p>
          <w:p w14:paraId="5B612C47" w14:textId="77777777" w:rsidR="008C76C7" w:rsidRDefault="008C76C7" w:rsidP="00773F29">
            <w:pPr>
              <w:rPr>
                <w:lang w:val="en-GB"/>
              </w:rPr>
            </w:pPr>
          </w:p>
          <w:p w14:paraId="48710C2A" w14:textId="0889FADF" w:rsidR="008C76C7" w:rsidRPr="00773F29" w:rsidRDefault="008C76C7" w:rsidP="00C86D7C">
            <w:pPr>
              <w:rPr>
                <w:lang w:val="en-GB"/>
              </w:rPr>
            </w:pPr>
            <w:r w:rsidRPr="008C76C7">
              <w:rPr>
                <w:lang w:val="en-GB"/>
              </w:rPr>
              <w:drawing>
                <wp:inline distT="0" distB="0" distL="0" distR="0" wp14:anchorId="4CAFA5FD" wp14:editId="7F217ACF">
                  <wp:extent cx="4410636" cy="1375407"/>
                  <wp:effectExtent l="0" t="0" r="0" b="0"/>
                  <wp:docPr id="542483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3078" cy="1379287"/>
                          </a:xfrm>
                          <a:prstGeom prst="rect">
                            <a:avLst/>
                          </a:prstGeom>
                          <a:noFill/>
                          <a:ln>
                            <a:noFill/>
                          </a:ln>
                        </pic:spPr>
                      </pic:pic>
                    </a:graphicData>
                  </a:graphic>
                </wp:inline>
              </w:drawing>
            </w:r>
          </w:p>
        </w:tc>
      </w:tr>
      <w:tr w:rsidR="00773F29" w:rsidRPr="0009331D" w14:paraId="62A2476A" w14:textId="77777777" w:rsidTr="007834F2">
        <w:tc>
          <w:tcPr>
            <w:tcW w:w="1112" w:type="dxa"/>
          </w:tcPr>
          <w:p w14:paraId="13775E76" w14:textId="0FC864E9" w:rsidR="00773F29" w:rsidRDefault="00773F29">
            <w:pPr>
              <w:rPr>
                <w:lang w:val="en-GB"/>
              </w:rPr>
            </w:pPr>
            <w:r>
              <w:rPr>
                <w:lang w:val="en-GB"/>
              </w:rPr>
              <w:t>NEW</w:t>
            </w:r>
          </w:p>
        </w:tc>
        <w:tc>
          <w:tcPr>
            <w:tcW w:w="873" w:type="dxa"/>
          </w:tcPr>
          <w:p w14:paraId="656FA005" w14:textId="2BCA0A12" w:rsidR="00773F29" w:rsidRDefault="00773F29">
            <w:pPr>
              <w:rPr>
                <w:lang w:val="en-GB"/>
              </w:rPr>
            </w:pPr>
            <w:r>
              <w:rPr>
                <w:lang w:val="en-GB"/>
              </w:rPr>
              <w:t>No</w:t>
            </w:r>
          </w:p>
        </w:tc>
        <w:tc>
          <w:tcPr>
            <w:tcW w:w="8122" w:type="dxa"/>
          </w:tcPr>
          <w:p w14:paraId="11137419" w14:textId="77777777" w:rsidR="00773F29" w:rsidRDefault="00773F29" w:rsidP="00773F29">
            <w:pPr>
              <w:rPr>
                <w:lang w:val="en-GB"/>
              </w:rPr>
            </w:pPr>
            <w:r w:rsidRPr="00773F29">
              <w:rPr>
                <w:lang w:val="en-GB"/>
              </w:rPr>
              <w:t>Considering the possibility of applying IFRS 18 in the FY2025 financial statements, it would be advisable to propose the use of the three macro-tags listed below.</w:t>
            </w:r>
          </w:p>
          <w:p w14:paraId="6050D61D" w14:textId="77777777" w:rsidR="00773F29" w:rsidRPr="00773F29" w:rsidRDefault="00773F29" w:rsidP="00773F29">
            <w:pPr>
              <w:numPr>
                <w:ilvl w:val="0"/>
                <w:numId w:val="8"/>
              </w:numPr>
              <w:rPr>
                <w:lang w:val="en-GB"/>
              </w:rPr>
            </w:pPr>
            <w:r w:rsidRPr="00773F29">
              <w:rPr>
                <w:lang w:val="en-GB"/>
              </w:rPr>
              <w:t>Disclosure of specified expenses by nature [text block]</w:t>
            </w:r>
          </w:p>
          <w:p w14:paraId="183302CF" w14:textId="77777777" w:rsidR="00773F29" w:rsidRPr="00773F29" w:rsidRDefault="00773F29" w:rsidP="00773F29">
            <w:pPr>
              <w:numPr>
                <w:ilvl w:val="0"/>
                <w:numId w:val="8"/>
              </w:numPr>
              <w:rPr>
                <w:lang w:val="en-GB"/>
              </w:rPr>
            </w:pPr>
            <w:r w:rsidRPr="00773F29">
              <w:rPr>
                <w:lang w:val="en-GB"/>
              </w:rPr>
              <w:t>Disclosure of management-defined performance measures [text block]</w:t>
            </w:r>
          </w:p>
          <w:p w14:paraId="77FF84BB" w14:textId="77777777" w:rsidR="00773F29" w:rsidRPr="00773F29" w:rsidRDefault="00773F29" w:rsidP="00773F29">
            <w:pPr>
              <w:numPr>
                <w:ilvl w:val="0"/>
                <w:numId w:val="8"/>
              </w:numPr>
              <w:rPr>
                <w:lang w:val="en-GB"/>
              </w:rPr>
            </w:pPr>
            <w:r w:rsidRPr="00773F29">
              <w:rPr>
                <w:lang w:val="en-GB"/>
              </w:rPr>
              <w:t>Disclosure of reconciliation between restated amounts presented applying IFRS 18 and amounts previously presented applying IAS 1 [text block]</w:t>
            </w:r>
          </w:p>
          <w:p w14:paraId="142459B7" w14:textId="77777777" w:rsidR="00773F29" w:rsidRPr="00773F29" w:rsidRDefault="00773F29" w:rsidP="00773F29">
            <w:pPr>
              <w:rPr>
                <w:lang w:val="en-GB"/>
              </w:rPr>
            </w:pPr>
          </w:p>
          <w:p w14:paraId="32598A6C" w14:textId="2DC065BE" w:rsidR="00773F29" w:rsidRDefault="00773F29" w:rsidP="00773F29">
            <w:pPr>
              <w:rPr>
                <w:lang w:val="en-GB"/>
              </w:rPr>
            </w:pPr>
            <w:r w:rsidRPr="00773F29">
              <w:rPr>
                <w:lang w:val="en-GB"/>
              </w:rPr>
              <w:t xml:space="preserve">The most appropriate approach would </w:t>
            </w:r>
            <w:r>
              <w:rPr>
                <w:lang w:val="en-GB"/>
              </w:rPr>
              <w:t xml:space="preserve">however </w:t>
            </w:r>
            <w:r w:rsidRPr="00773F29">
              <w:rPr>
                <w:lang w:val="en-GB"/>
              </w:rPr>
              <w:t xml:space="preserve">be to include them in the list of </w:t>
            </w:r>
            <w:r w:rsidRPr="00773F29">
              <w:rPr>
                <w:lang w:val="en-GB"/>
              </w:rPr>
              <w:lastRenderedPageBreak/>
              <w:t>mandatory tags</w:t>
            </w:r>
            <w:r>
              <w:rPr>
                <w:lang w:val="en-GB"/>
              </w:rPr>
              <w:t xml:space="preserve"> (</w:t>
            </w:r>
            <w:r w:rsidRPr="00773F29">
              <w:rPr>
                <w:lang w:val="en-GB"/>
              </w:rPr>
              <w:t>where a corresponding disclosure exists in the repor</w:t>
            </w:r>
            <w:r>
              <w:rPr>
                <w:lang w:val="en-GB"/>
              </w:rPr>
              <w:t xml:space="preserve">t) </w:t>
            </w:r>
            <w:r w:rsidRPr="00773F29">
              <w:rPr>
                <w:lang w:val="en-GB"/>
              </w:rPr>
              <w:t>under the RTS 2025, for early adopters of IFRS 18.</w:t>
            </w:r>
          </w:p>
          <w:p w14:paraId="6CA9AAB4" w14:textId="77777777" w:rsidR="00773F29" w:rsidRPr="00773F29" w:rsidRDefault="00773F29" w:rsidP="00773F29">
            <w:pPr>
              <w:rPr>
                <w:lang w:val="en-GB"/>
              </w:rPr>
            </w:pPr>
          </w:p>
          <w:p w14:paraId="065AC0C7" w14:textId="4406BF90" w:rsidR="00773F29" w:rsidRPr="007C4420" w:rsidRDefault="00773F29">
            <w:pPr>
              <w:rPr>
                <w:lang w:val="en-GB"/>
              </w:rPr>
            </w:pPr>
            <w:r w:rsidRPr="00773F29">
              <w:rPr>
                <w:lang w:val="en-GB"/>
              </w:rPr>
              <w:t>The RTS should then specify that early adopters of IFRS 18 are required to anticipate the 2025 taxonomy (using the correct entry point) and may not continue to apply the 2024 taxonomy.</w:t>
            </w:r>
          </w:p>
        </w:tc>
      </w:tr>
      <w:tr w:rsidR="00773F29" w:rsidRPr="0009331D" w14:paraId="443BC3BE" w14:textId="77777777" w:rsidTr="007834F2">
        <w:tc>
          <w:tcPr>
            <w:tcW w:w="1112" w:type="dxa"/>
          </w:tcPr>
          <w:p w14:paraId="2A80289C" w14:textId="0863226B" w:rsidR="00773F29" w:rsidRDefault="00773F29">
            <w:pPr>
              <w:rPr>
                <w:lang w:val="en-GB"/>
              </w:rPr>
            </w:pPr>
            <w:r>
              <w:rPr>
                <w:lang w:val="en-GB"/>
              </w:rPr>
              <w:lastRenderedPageBreak/>
              <w:t>NEW</w:t>
            </w:r>
          </w:p>
        </w:tc>
        <w:tc>
          <w:tcPr>
            <w:tcW w:w="873" w:type="dxa"/>
          </w:tcPr>
          <w:p w14:paraId="11A2B999" w14:textId="5E872D4D" w:rsidR="00773F29" w:rsidRDefault="00773F29">
            <w:pPr>
              <w:rPr>
                <w:lang w:val="en-GB"/>
              </w:rPr>
            </w:pPr>
            <w:r>
              <w:rPr>
                <w:lang w:val="en-GB"/>
              </w:rPr>
              <w:t>No</w:t>
            </w:r>
          </w:p>
        </w:tc>
        <w:tc>
          <w:tcPr>
            <w:tcW w:w="8122" w:type="dxa"/>
          </w:tcPr>
          <w:p w14:paraId="3F508269" w14:textId="77777777" w:rsidR="00FD6765" w:rsidRDefault="00FD6765" w:rsidP="00FD6765">
            <w:pPr>
              <w:rPr>
                <w:lang w:val="en-GB"/>
              </w:rPr>
            </w:pPr>
            <w:r w:rsidRPr="00FD6765">
              <w:rPr>
                <w:lang w:val="en-GB"/>
              </w:rPr>
              <w:t>The tagging of significant events often leads to debate, particularly when it involves mandating the use of a specific concept for each event presented in this commonly observed section of financial reports.</w:t>
            </w:r>
          </w:p>
          <w:p w14:paraId="086C98DC" w14:textId="77777777" w:rsidR="00FD6765" w:rsidRPr="00FD6765" w:rsidRDefault="00FD6765" w:rsidP="00FD6765">
            <w:pPr>
              <w:rPr>
                <w:lang w:val="en-GB"/>
              </w:rPr>
            </w:pPr>
          </w:p>
          <w:p w14:paraId="0EA7DE26" w14:textId="79386F73" w:rsidR="00FD6765" w:rsidRPr="00FD6765" w:rsidRDefault="00FD6765" w:rsidP="00FD6765">
            <w:pPr>
              <w:rPr>
                <w:lang w:val="en-GB"/>
              </w:rPr>
            </w:pPr>
            <w:r w:rsidRPr="00FD6765">
              <w:rPr>
                <w:lang w:val="en-GB"/>
              </w:rPr>
              <w:t>In the same way that the section dealing with post-closing events has its own concept (</w:t>
            </w:r>
            <w:r w:rsidRPr="00FD6765">
              <w:rPr>
                <w:i/>
                <w:iCs/>
                <w:lang w:val="en-GB"/>
              </w:rPr>
              <w:t>DisclosureOfEventsAfterReportingPeriodExplanatory</w:t>
            </w:r>
            <w:r w:rsidRPr="00FD6765">
              <w:rPr>
                <w:lang w:val="en-GB"/>
              </w:rPr>
              <w:t xml:space="preserve">), why wouldn’t the RTS / ESMA propose </w:t>
            </w:r>
            <w:r w:rsidR="002C5ACC">
              <w:rPr>
                <w:lang w:val="en-GB"/>
              </w:rPr>
              <w:t xml:space="preserve">to create </w:t>
            </w:r>
            <w:r w:rsidRPr="00FD6765">
              <w:rPr>
                <w:lang w:val="en-GB"/>
              </w:rPr>
              <w:t xml:space="preserve">a dedicated concept such as </w:t>
            </w:r>
            <w:r w:rsidRPr="00FD6765">
              <w:rPr>
                <w:i/>
                <w:iCs/>
                <w:lang w:val="en-GB"/>
              </w:rPr>
              <w:t>DisclosureOfMainEventsDuringReportingPeriodExplanatory</w:t>
            </w:r>
            <w:r w:rsidRPr="00FD6765">
              <w:rPr>
                <w:lang w:val="en-GB"/>
              </w:rPr>
              <w:t>?</w:t>
            </w:r>
          </w:p>
          <w:p w14:paraId="748D8658" w14:textId="77777777" w:rsidR="00FD6765" w:rsidRDefault="00FD6765" w:rsidP="00773F29">
            <w:pPr>
              <w:rPr>
                <w:lang w:val="en-GB"/>
              </w:rPr>
            </w:pPr>
          </w:p>
          <w:p w14:paraId="2AB6DCA7" w14:textId="4930E9FE" w:rsidR="00773F29" w:rsidRPr="00FD6765" w:rsidRDefault="00FD6765" w:rsidP="00773F29">
            <w:pPr>
              <w:rPr>
                <w:lang w:val="en-GB"/>
              </w:rPr>
            </w:pPr>
            <w:r w:rsidRPr="00FD6765">
              <w:rPr>
                <w:lang w:val="en-GB"/>
              </w:rPr>
              <w:t>At present, we apply an overlay tag using a concept that is not included in the list of mandatory concepts (</w:t>
            </w:r>
            <w:r w:rsidRPr="00FD6765">
              <w:rPr>
                <w:i/>
                <w:iCs/>
                <w:lang w:val="en-GB"/>
              </w:rPr>
              <w:t>DisclosureOfAdditionalInformationExplanatory</w:t>
            </w:r>
            <w:r w:rsidRPr="00FD6765">
              <w:rPr>
                <w:lang w:val="en-GB"/>
              </w:rPr>
              <w:t>).</w:t>
            </w:r>
          </w:p>
        </w:tc>
      </w:tr>
      <w:tr w:rsidR="002C5ACC" w:rsidRPr="0009331D" w14:paraId="65EC4432" w14:textId="77777777" w:rsidTr="007834F2">
        <w:tc>
          <w:tcPr>
            <w:tcW w:w="1112" w:type="dxa"/>
          </w:tcPr>
          <w:p w14:paraId="364920BA" w14:textId="78042792" w:rsidR="002C5ACC" w:rsidRDefault="002C5ACC">
            <w:pPr>
              <w:rPr>
                <w:lang w:val="en-GB"/>
              </w:rPr>
            </w:pPr>
            <w:r>
              <w:rPr>
                <w:lang w:val="en-GB"/>
              </w:rPr>
              <w:t>Guidance 3.4.1</w:t>
            </w:r>
          </w:p>
        </w:tc>
        <w:tc>
          <w:tcPr>
            <w:tcW w:w="873" w:type="dxa"/>
          </w:tcPr>
          <w:p w14:paraId="2E794B19" w14:textId="14269F4A" w:rsidR="002C5ACC" w:rsidRDefault="002C5ACC">
            <w:pPr>
              <w:rPr>
                <w:lang w:val="en-GB"/>
              </w:rPr>
            </w:pPr>
            <w:r>
              <w:rPr>
                <w:lang w:val="en-GB"/>
              </w:rPr>
              <w:t>Yes</w:t>
            </w:r>
          </w:p>
        </w:tc>
        <w:tc>
          <w:tcPr>
            <w:tcW w:w="8122" w:type="dxa"/>
          </w:tcPr>
          <w:p w14:paraId="7E42DB84" w14:textId="0C44B36A" w:rsidR="002C5ACC" w:rsidRPr="00FD6765" w:rsidRDefault="002C5ACC" w:rsidP="00FD6765">
            <w:pPr>
              <w:rPr>
                <w:lang w:val="en-GB"/>
              </w:rPr>
            </w:pPr>
            <w:r>
              <w:rPr>
                <w:lang w:val="en-GB"/>
              </w:rPr>
              <w:t>The use of Calc 1.1 should be clearly made mandatory with the 2024 taxonomy.</w:t>
            </w:r>
            <w:r w:rsidR="00B41CCD">
              <w:rPr>
                <w:lang w:val="en-GB"/>
              </w:rPr>
              <w:t xml:space="preserve"> Guidance 3.4.1 mix “encourages” and “must”.</w:t>
            </w:r>
          </w:p>
        </w:tc>
      </w:tr>
      <w:tr w:rsidR="00B41CCD" w:rsidRPr="0009331D" w14:paraId="6959B995" w14:textId="77777777" w:rsidTr="007834F2">
        <w:tc>
          <w:tcPr>
            <w:tcW w:w="1112" w:type="dxa"/>
          </w:tcPr>
          <w:p w14:paraId="0F2A723D" w14:textId="71049609" w:rsidR="00B41CCD" w:rsidRDefault="00B41CCD">
            <w:pPr>
              <w:rPr>
                <w:lang w:val="en-GB"/>
              </w:rPr>
            </w:pPr>
            <w:r>
              <w:rPr>
                <w:lang w:val="en-GB"/>
              </w:rPr>
              <w:t>NEW</w:t>
            </w:r>
          </w:p>
        </w:tc>
        <w:tc>
          <w:tcPr>
            <w:tcW w:w="873" w:type="dxa"/>
          </w:tcPr>
          <w:p w14:paraId="6A6D5710" w14:textId="0C48CDA5" w:rsidR="00B41CCD" w:rsidRDefault="00B41CCD">
            <w:pPr>
              <w:rPr>
                <w:lang w:val="en-GB"/>
              </w:rPr>
            </w:pPr>
            <w:r>
              <w:rPr>
                <w:lang w:val="en-GB"/>
              </w:rPr>
              <w:t>No</w:t>
            </w:r>
          </w:p>
        </w:tc>
        <w:tc>
          <w:tcPr>
            <w:tcW w:w="8122" w:type="dxa"/>
          </w:tcPr>
          <w:p w14:paraId="7FB1F6E5" w14:textId="79D69CFE" w:rsidR="00B41CCD" w:rsidRDefault="00B41CCD" w:rsidP="00FD6765">
            <w:pPr>
              <w:rPr>
                <w:lang w:val="en-GB"/>
              </w:rPr>
            </w:pPr>
            <w:r>
              <w:rPr>
                <w:lang w:val="en-GB"/>
              </w:rPr>
              <w:t>The RTS, or otherwise the ERM, should specify the technical standard and validation (conformance suite, etc) to be used, and their application date.</w:t>
            </w:r>
          </w:p>
        </w:tc>
      </w:tr>
      <w:tr w:rsidR="00B41CCD" w:rsidRPr="0009331D" w14:paraId="69E83C03" w14:textId="77777777" w:rsidTr="007834F2">
        <w:tc>
          <w:tcPr>
            <w:tcW w:w="1112" w:type="dxa"/>
          </w:tcPr>
          <w:p w14:paraId="05C1E7F4" w14:textId="2759D0A4" w:rsidR="00B41CCD" w:rsidRDefault="00B41CCD">
            <w:pPr>
              <w:rPr>
                <w:lang w:val="en-GB"/>
              </w:rPr>
            </w:pPr>
            <w:r>
              <w:rPr>
                <w:lang w:val="en-GB"/>
              </w:rPr>
              <w:t>Guidance 2.5.1</w:t>
            </w:r>
          </w:p>
        </w:tc>
        <w:tc>
          <w:tcPr>
            <w:tcW w:w="873" w:type="dxa"/>
          </w:tcPr>
          <w:p w14:paraId="7AEC23CD" w14:textId="67236422" w:rsidR="00B41CCD" w:rsidRDefault="00B41CCD">
            <w:pPr>
              <w:rPr>
                <w:lang w:val="en-GB"/>
              </w:rPr>
            </w:pPr>
            <w:r>
              <w:rPr>
                <w:lang w:val="en-GB"/>
              </w:rPr>
              <w:t>No</w:t>
            </w:r>
          </w:p>
        </w:tc>
        <w:tc>
          <w:tcPr>
            <w:tcW w:w="8122" w:type="dxa"/>
          </w:tcPr>
          <w:p w14:paraId="234C9242" w14:textId="6D3052BF" w:rsidR="003C2708" w:rsidRPr="003C2708" w:rsidRDefault="003C2708" w:rsidP="00B41CCD">
            <w:pPr>
              <w:rPr>
                <w:lang w:val="en-GB"/>
              </w:rPr>
            </w:pPr>
            <w:r>
              <w:rPr>
                <w:lang w:val="en-GB"/>
              </w:rPr>
              <w:t>“</w:t>
            </w:r>
            <w:r w:rsidRPr="003C2708">
              <w:rPr>
                <w:lang w:val="en-GB"/>
              </w:rPr>
              <w:t>Preparers shall not embed images carrying financial information in ESEF report. Images can only be used for content such as branding information, graphical layout, photographs, etc.</w:t>
            </w:r>
            <w:r>
              <w:rPr>
                <w:lang w:val="en-GB"/>
              </w:rPr>
              <w:t>”</w:t>
            </w:r>
          </w:p>
          <w:p w14:paraId="7D43472B" w14:textId="77777777" w:rsidR="003C2708" w:rsidRDefault="003C2708" w:rsidP="00B41CCD">
            <w:pPr>
              <w:rPr>
                <w:lang w:val="en-GB"/>
              </w:rPr>
            </w:pPr>
          </w:p>
          <w:p w14:paraId="219F5D07" w14:textId="4B93B994" w:rsidR="00B41CCD" w:rsidRDefault="00B41CCD" w:rsidP="00B41CCD">
            <w:pPr>
              <w:rPr>
                <w:lang w:val="en-GB"/>
              </w:rPr>
            </w:pPr>
            <w:r>
              <w:rPr>
                <w:lang w:val="en-GB"/>
              </w:rPr>
              <w:t>The rule about inclusion of financial information in image should clarify if it applies to images in the financial report only, or in the whole document. We presently audit the financial report and do not check the rule across the whole document.</w:t>
            </w:r>
          </w:p>
          <w:p w14:paraId="5352E694" w14:textId="54235FE2" w:rsidR="00B41CCD" w:rsidRDefault="00B41CCD" w:rsidP="00B41CCD">
            <w:pPr>
              <w:rPr>
                <w:lang w:val="en-GB"/>
              </w:rPr>
            </w:pPr>
            <w:r>
              <w:rPr>
                <w:lang w:val="en-GB"/>
              </w:rPr>
              <w:t xml:space="preserve">The rule should </w:t>
            </w:r>
            <w:r>
              <w:rPr>
                <w:lang w:val="en-GB"/>
              </w:rPr>
              <w:t>however consider</w:t>
            </w:r>
            <w:r>
              <w:rPr>
                <w:lang w:val="en-GB"/>
              </w:rPr>
              <w:t xml:space="preserve"> the Commission </w:t>
            </w:r>
            <w:r>
              <w:rPr>
                <w:lang w:val="en-GB"/>
              </w:rPr>
              <w:t>I</w:t>
            </w:r>
            <w:r>
              <w:rPr>
                <w:lang w:val="en-GB"/>
              </w:rPr>
              <w:t xml:space="preserve">mplementation </w:t>
            </w:r>
            <w:r>
              <w:rPr>
                <w:lang w:val="en-GB"/>
              </w:rPr>
              <w:t>R</w:t>
            </w:r>
            <w:r>
              <w:rPr>
                <w:lang w:val="en-GB"/>
              </w:rPr>
              <w:t xml:space="preserve">egulation published about ESAP, which doesn’t allow any text </w:t>
            </w:r>
            <w:r w:rsidR="00505F0B">
              <w:rPr>
                <w:lang w:val="en-GB"/>
              </w:rPr>
              <w:t>embedded in an image in an non-extractable way (in both ESEF and PDF documents)</w:t>
            </w:r>
            <w:r>
              <w:rPr>
                <w:lang w:val="en-GB"/>
              </w:rPr>
              <w:t>, starting in 2026.</w:t>
            </w:r>
          </w:p>
          <w:p w14:paraId="50265719" w14:textId="3CDDF290" w:rsidR="00B41CCD" w:rsidRPr="00B41CCD" w:rsidRDefault="00B41CCD" w:rsidP="00B41CCD">
            <w:pPr>
              <w:rPr>
                <w:lang w:val="en-GB"/>
              </w:rPr>
            </w:pPr>
            <w:r>
              <w:rPr>
                <w:lang w:val="en-GB"/>
              </w:rPr>
              <w:t xml:space="preserve">We also consider essential to accept that, </w:t>
            </w:r>
            <w:r w:rsidRPr="00B41CCD">
              <w:rPr>
                <w:lang w:val="en-GB"/>
              </w:rPr>
              <w:t>when the information is given in an image and repeated as raw/tagged text</w:t>
            </w:r>
            <w:r>
              <w:rPr>
                <w:lang w:val="en-GB"/>
              </w:rPr>
              <w:t>, it is accepted to keep the image as the information may be used.</w:t>
            </w:r>
          </w:p>
        </w:tc>
      </w:tr>
    </w:tbl>
    <w:p w14:paraId="10D8B3C7" w14:textId="77777777" w:rsidR="004C5115" w:rsidRPr="00FD6765" w:rsidRDefault="004C5115">
      <w:pPr>
        <w:rPr>
          <w:lang w:val="en-GB"/>
        </w:rPr>
      </w:pPr>
    </w:p>
    <w:sectPr w:rsidR="004C5115" w:rsidRPr="00FD6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385"/>
    <w:multiLevelType w:val="hybridMultilevel"/>
    <w:tmpl w:val="ACA489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7C1598"/>
    <w:multiLevelType w:val="multilevel"/>
    <w:tmpl w:val="438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5011A"/>
    <w:multiLevelType w:val="hybridMultilevel"/>
    <w:tmpl w:val="3A764632"/>
    <w:lvl w:ilvl="0" w:tplc="CEA6384C">
      <w:start w:val="202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AD2591"/>
    <w:multiLevelType w:val="multilevel"/>
    <w:tmpl w:val="B01C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E6888"/>
    <w:multiLevelType w:val="multilevel"/>
    <w:tmpl w:val="E3F8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C3416"/>
    <w:multiLevelType w:val="hybridMultilevel"/>
    <w:tmpl w:val="97A29A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804733"/>
    <w:multiLevelType w:val="hybridMultilevel"/>
    <w:tmpl w:val="85E2A200"/>
    <w:lvl w:ilvl="0" w:tplc="CA06EB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55F00"/>
    <w:multiLevelType w:val="hybridMultilevel"/>
    <w:tmpl w:val="2E2CC988"/>
    <w:lvl w:ilvl="0" w:tplc="C06ED4CC">
      <w:start w:val="20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377C56"/>
    <w:multiLevelType w:val="multilevel"/>
    <w:tmpl w:val="A11E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8825481">
    <w:abstractNumId w:val="7"/>
  </w:num>
  <w:num w:numId="2" w16cid:durableId="781656542">
    <w:abstractNumId w:val="2"/>
  </w:num>
  <w:num w:numId="3" w16cid:durableId="1076899627">
    <w:abstractNumId w:val="5"/>
  </w:num>
  <w:num w:numId="4" w16cid:durableId="311564438">
    <w:abstractNumId w:val="0"/>
  </w:num>
  <w:num w:numId="5" w16cid:durableId="1269045473">
    <w:abstractNumId w:val="1"/>
  </w:num>
  <w:num w:numId="6" w16cid:durableId="160971499">
    <w:abstractNumId w:val="4"/>
  </w:num>
  <w:num w:numId="7" w16cid:durableId="971136931">
    <w:abstractNumId w:val="8"/>
  </w:num>
  <w:num w:numId="8" w16cid:durableId="462314811">
    <w:abstractNumId w:val="3"/>
  </w:num>
  <w:num w:numId="9" w16cid:durableId="507523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6DF8"/>
    <w:rsid w:val="00047B0C"/>
    <w:rsid w:val="0009331D"/>
    <w:rsid w:val="000C360C"/>
    <w:rsid w:val="00130BF8"/>
    <w:rsid w:val="001B3BA9"/>
    <w:rsid w:val="00242704"/>
    <w:rsid w:val="002B66FD"/>
    <w:rsid w:val="002C3EBF"/>
    <w:rsid w:val="002C5ACC"/>
    <w:rsid w:val="003C2708"/>
    <w:rsid w:val="00406DF8"/>
    <w:rsid w:val="00414BE5"/>
    <w:rsid w:val="00423370"/>
    <w:rsid w:val="004C5115"/>
    <w:rsid w:val="004D241E"/>
    <w:rsid w:val="004F08AC"/>
    <w:rsid w:val="00505F0B"/>
    <w:rsid w:val="005512F2"/>
    <w:rsid w:val="006604CC"/>
    <w:rsid w:val="0067667C"/>
    <w:rsid w:val="006A24CE"/>
    <w:rsid w:val="00700733"/>
    <w:rsid w:val="00705CA6"/>
    <w:rsid w:val="00773F29"/>
    <w:rsid w:val="007834F2"/>
    <w:rsid w:val="00783A5B"/>
    <w:rsid w:val="007C4168"/>
    <w:rsid w:val="007C4420"/>
    <w:rsid w:val="007D4FAB"/>
    <w:rsid w:val="007F07B9"/>
    <w:rsid w:val="0085434E"/>
    <w:rsid w:val="008C76C7"/>
    <w:rsid w:val="008D71C4"/>
    <w:rsid w:val="00A47B2C"/>
    <w:rsid w:val="00A51D1A"/>
    <w:rsid w:val="00A55196"/>
    <w:rsid w:val="00AA441B"/>
    <w:rsid w:val="00AA4F4D"/>
    <w:rsid w:val="00B15953"/>
    <w:rsid w:val="00B41CCD"/>
    <w:rsid w:val="00B532AC"/>
    <w:rsid w:val="00BF23CF"/>
    <w:rsid w:val="00C10E33"/>
    <w:rsid w:val="00C76D3E"/>
    <w:rsid w:val="00C86D7C"/>
    <w:rsid w:val="00CE30D7"/>
    <w:rsid w:val="00D05606"/>
    <w:rsid w:val="00D357F1"/>
    <w:rsid w:val="00D70AA6"/>
    <w:rsid w:val="00D80857"/>
    <w:rsid w:val="00E04426"/>
    <w:rsid w:val="00E61683"/>
    <w:rsid w:val="00EC438B"/>
    <w:rsid w:val="00F169BA"/>
    <w:rsid w:val="00FC3659"/>
    <w:rsid w:val="00FD6765"/>
    <w:rsid w:val="00FF5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5777"/>
  <w15:docId w15:val="{5DCF4EA9-370A-419D-9E58-2C34A32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D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D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D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D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D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D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D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D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D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DF8"/>
    <w:rPr>
      <w:rFonts w:eastAsiaTheme="majorEastAsia" w:cstheme="majorBidi"/>
      <w:color w:val="272727" w:themeColor="text1" w:themeTint="D8"/>
    </w:rPr>
  </w:style>
  <w:style w:type="paragraph" w:styleId="Title">
    <w:name w:val="Title"/>
    <w:basedOn w:val="Normal"/>
    <w:next w:val="Normal"/>
    <w:link w:val="TitleChar"/>
    <w:uiPriority w:val="10"/>
    <w:qFormat/>
    <w:rsid w:val="0040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DF8"/>
    <w:pPr>
      <w:spacing w:before="160"/>
      <w:jc w:val="center"/>
    </w:pPr>
    <w:rPr>
      <w:i/>
      <w:iCs/>
      <w:color w:val="404040" w:themeColor="text1" w:themeTint="BF"/>
    </w:rPr>
  </w:style>
  <w:style w:type="character" w:customStyle="1" w:styleId="QuoteChar">
    <w:name w:val="Quote Char"/>
    <w:basedOn w:val="DefaultParagraphFont"/>
    <w:link w:val="Quote"/>
    <w:uiPriority w:val="29"/>
    <w:rsid w:val="00406DF8"/>
    <w:rPr>
      <w:i/>
      <w:iCs/>
      <w:color w:val="404040" w:themeColor="text1" w:themeTint="BF"/>
    </w:rPr>
  </w:style>
  <w:style w:type="paragraph" w:styleId="ListParagraph">
    <w:name w:val="List Paragraph"/>
    <w:basedOn w:val="Normal"/>
    <w:uiPriority w:val="34"/>
    <w:qFormat/>
    <w:rsid w:val="00406DF8"/>
    <w:pPr>
      <w:ind w:left="720"/>
      <w:contextualSpacing/>
    </w:pPr>
  </w:style>
  <w:style w:type="character" w:styleId="IntenseEmphasis">
    <w:name w:val="Intense Emphasis"/>
    <w:basedOn w:val="DefaultParagraphFont"/>
    <w:uiPriority w:val="21"/>
    <w:qFormat/>
    <w:rsid w:val="00406DF8"/>
    <w:rPr>
      <w:i/>
      <w:iCs/>
      <w:color w:val="2F5496" w:themeColor="accent1" w:themeShade="BF"/>
    </w:rPr>
  </w:style>
  <w:style w:type="paragraph" w:styleId="IntenseQuote">
    <w:name w:val="Intense Quote"/>
    <w:basedOn w:val="Normal"/>
    <w:next w:val="Normal"/>
    <w:link w:val="IntenseQuoteChar"/>
    <w:uiPriority w:val="30"/>
    <w:qFormat/>
    <w:rsid w:val="00406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DF8"/>
    <w:rPr>
      <w:i/>
      <w:iCs/>
      <w:color w:val="2F5496" w:themeColor="accent1" w:themeShade="BF"/>
    </w:rPr>
  </w:style>
  <w:style w:type="character" w:styleId="IntenseReference">
    <w:name w:val="Intense Reference"/>
    <w:basedOn w:val="DefaultParagraphFont"/>
    <w:uiPriority w:val="32"/>
    <w:qFormat/>
    <w:rsid w:val="00406DF8"/>
    <w:rPr>
      <w:b/>
      <w:bCs/>
      <w:smallCaps/>
      <w:color w:val="2F5496" w:themeColor="accent1" w:themeShade="BF"/>
      <w:spacing w:val="5"/>
    </w:rPr>
  </w:style>
  <w:style w:type="table" w:styleId="TableGrid">
    <w:name w:val="Table Grid"/>
    <w:basedOn w:val="TableNormal"/>
    <w:uiPriority w:val="39"/>
    <w:rsid w:val="004C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A5B"/>
    <w:rPr>
      <w:color w:val="0563C1" w:themeColor="hyperlink"/>
      <w:u w:val="single"/>
    </w:rPr>
  </w:style>
  <w:style w:type="character" w:styleId="UnresolvedMention">
    <w:name w:val="Unresolved Mention"/>
    <w:basedOn w:val="DefaultParagraphFont"/>
    <w:uiPriority w:val="99"/>
    <w:semiHidden/>
    <w:unhideWhenUsed/>
    <w:rsid w:val="0078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026">
      <w:bodyDiv w:val="1"/>
      <w:marLeft w:val="0"/>
      <w:marRight w:val="0"/>
      <w:marTop w:val="0"/>
      <w:marBottom w:val="0"/>
      <w:divBdr>
        <w:top w:val="none" w:sz="0" w:space="0" w:color="auto"/>
        <w:left w:val="none" w:sz="0" w:space="0" w:color="auto"/>
        <w:bottom w:val="none" w:sz="0" w:space="0" w:color="auto"/>
        <w:right w:val="none" w:sz="0" w:space="0" w:color="auto"/>
      </w:divBdr>
    </w:div>
    <w:div w:id="208807927">
      <w:bodyDiv w:val="1"/>
      <w:marLeft w:val="0"/>
      <w:marRight w:val="0"/>
      <w:marTop w:val="0"/>
      <w:marBottom w:val="0"/>
      <w:divBdr>
        <w:top w:val="none" w:sz="0" w:space="0" w:color="auto"/>
        <w:left w:val="none" w:sz="0" w:space="0" w:color="auto"/>
        <w:bottom w:val="none" w:sz="0" w:space="0" w:color="auto"/>
        <w:right w:val="none" w:sz="0" w:space="0" w:color="auto"/>
      </w:divBdr>
    </w:div>
    <w:div w:id="283656639">
      <w:bodyDiv w:val="1"/>
      <w:marLeft w:val="0"/>
      <w:marRight w:val="0"/>
      <w:marTop w:val="0"/>
      <w:marBottom w:val="0"/>
      <w:divBdr>
        <w:top w:val="none" w:sz="0" w:space="0" w:color="auto"/>
        <w:left w:val="none" w:sz="0" w:space="0" w:color="auto"/>
        <w:bottom w:val="none" w:sz="0" w:space="0" w:color="auto"/>
        <w:right w:val="none" w:sz="0" w:space="0" w:color="auto"/>
      </w:divBdr>
    </w:div>
    <w:div w:id="379789565">
      <w:bodyDiv w:val="1"/>
      <w:marLeft w:val="0"/>
      <w:marRight w:val="0"/>
      <w:marTop w:val="0"/>
      <w:marBottom w:val="0"/>
      <w:divBdr>
        <w:top w:val="none" w:sz="0" w:space="0" w:color="auto"/>
        <w:left w:val="none" w:sz="0" w:space="0" w:color="auto"/>
        <w:bottom w:val="none" w:sz="0" w:space="0" w:color="auto"/>
        <w:right w:val="none" w:sz="0" w:space="0" w:color="auto"/>
      </w:divBdr>
    </w:div>
    <w:div w:id="392238754">
      <w:bodyDiv w:val="1"/>
      <w:marLeft w:val="0"/>
      <w:marRight w:val="0"/>
      <w:marTop w:val="0"/>
      <w:marBottom w:val="0"/>
      <w:divBdr>
        <w:top w:val="none" w:sz="0" w:space="0" w:color="auto"/>
        <w:left w:val="none" w:sz="0" w:space="0" w:color="auto"/>
        <w:bottom w:val="none" w:sz="0" w:space="0" w:color="auto"/>
        <w:right w:val="none" w:sz="0" w:space="0" w:color="auto"/>
      </w:divBdr>
    </w:div>
    <w:div w:id="495847531">
      <w:bodyDiv w:val="1"/>
      <w:marLeft w:val="0"/>
      <w:marRight w:val="0"/>
      <w:marTop w:val="0"/>
      <w:marBottom w:val="0"/>
      <w:divBdr>
        <w:top w:val="none" w:sz="0" w:space="0" w:color="auto"/>
        <w:left w:val="none" w:sz="0" w:space="0" w:color="auto"/>
        <w:bottom w:val="none" w:sz="0" w:space="0" w:color="auto"/>
        <w:right w:val="none" w:sz="0" w:space="0" w:color="auto"/>
      </w:divBdr>
    </w:div>
    <w:div w:id="657998647">
      <w:bodyDiv w:val="1"/>
      <w:marLeft w:val="0"/>
      <w:marRight w:val="0"/>
      <w:marTop w:val="0"/>
      <w:marBottom w:val="0"/>
      <w:divBdr>
        <w:top w:val="none" w:sz="0" w:space="0" w:color="auto"/>
        <w:left w:val="none" w:sz="0" w:space="0" w:color="auto"/>
        <w:bottom w:val="none" w:sz="0" w:space="0" w:color="auto"/>
        <w:right w:val="none" w:sz="0" w:space="0" w:color="auto"/>
      </w:divBdr>
    </w:div>
    <w:div w:id="745343733">
      <w:bodyDiv w:val="1"/>
      <w:marLeft w:val="0"/>
      <w:marRight w:val="0"/>
      <w:marTop w:val="0"/>
      <w:marBottom w:val="0"/>
      <w:divBdr>
        <w:top w:val="none" w:sz="0" w:space="0" w:color="auto"/>
        <w:left w:val="none" w:sz="0" w:space="0" w:color="auto"/>
        <w:bottom w:val="none" w:sz="0" w:space="0" w:color="auto"/>
        <w:right w:val="none" w:sz="0" w:space="0" w:color="auto"/>
      </w:divBdr>
    </w:div>
    <w:div w:id="753622048">
      <w:bodyDiv w:val="1"/>
      <w:marLeft w:val="0"/>
      <w:marRight w:val="0"/>
      <w:marTop w:val="0"/>
      <w:marBottom w:val="0"/>
      <w:divBdr>
        <w:top w:val="none" w:sz="0" w:space="0" w:color="auto"/>
        <w:left w:val="none" w:sz="0" w:space="0" w:color="auto"/>
        <w:bottom w:val="none" w:sz="0" w:space="0" w:color="auto"/>
        <w:right w:val="none" w:sz="0" w:space="0" w:color="auto"/>
      </w:divBdr>
    </w:div>
    <w:div w:id="932979750">
      <w:bodyDiv w:val="1"/>
      <w:marLeft w:val="0"/>
      <w:marRight w:val="0"/>
      <w:marTop w:val="0"/>
      <w:marBottom w:val="0"/>
      <w:divBdr>
        <w:top w:val="none" w:sz="0" w:space="0" w:color="auto"/>
        <w:left w:val="none" w:sz="0" w:space="0" w:color="auto"/>
        <w:bottom w:val="none" w:sz="0" w:space="0" w:color="auto"/>
        <w:right w:val="none" w:sz="0" w:space="0" w:color="auto"/>
      </w:divBdr>
    </w:div>
    <w:div w:id="1180505944">
      <w:bodyDiv w:val="1"/>
      <w:marLeft w:val="0"/>
      <w:marRight w:val="0"/>
      <w:marTop w:val="0"/>
      <w:marBottom w:val="0"/>
      <w:divBdr>
        <w:top w:val="none" w:sz="0" w:space="0" w:color="auto"/>
        <w:left w:val="none" w:sz="0" w:space="0" w:color="auto"/>
        <w:bottom w:val="none" w:sz="0" w:space="0" w:color="auto"/>
        <w:right w:val="none" w:sz="0" w:space="0" w:color="auto"/>
      </w:divBdr>
    </w:div>
    <w:div w:id="1189181096">
      <w:bodyDiv w:val="1"/>
      <w:marLeft w:val="0"/>
      <w:marRight w:val="0"/>
      <w:marTop w:val="0"/>
      <w:marBottom w:val="0"/>
      <w:divBdr>
        <w:top w:val="none" w:sz="0" w:space="0" w:color="auto"/>
        <w:left w:val="none" w:sz="0" w:space="0" w:color="auto"/>
        <w:bottom w:val="none" w:sz="0" w:space="0" w:color="auto"/>
        <w:right w:val="none" w:sz="0" w:space="0" w:color="auto"/>
      </w:divBdr>
    </w:div>
    <w:div w:id="1228373380">
      <w:bodyDiv w:val="1"/>
      <w:marLeft w:val="0"/>
      <w:marRight w:val="0"/>
      <w:marTop w:val="0"/>
      <w:marBottom w:val="0"/>
      <w:divBdr>
        <w:top w:val="none" w:sz="0" w:space="0" w:color="auto"/>
        <w:left w:val="none" w:sz="0" w:space="0" w:color="auto"/>
        <w:bottom w:val="none" w:sz="0" w:space="0" w:color="auto"/>
        <w:right w:val="none" w:sz="0" w:space="0" w:color="auto"/>
      </w:divBdr>
    </w:div>
    <w:div w:id="1323122963">
      <w:bodyDiv w:val="1"/>
      <w:marLeft w:val="0"/>
      <w:marRight w:val="0"/>
      <w:marTop w:val="0"/>
      <w:marBottom w:val="0"/>
      <w:divBdr>
        <w:top w:val="none" w:sz="0" w:space="0" w:color="auto"/>
        <w:left w:val="none" w:sz="0" w:space="0" w:color="auto"/>
        <w:bottom w:val="none" w:sz="0" w:space="0" w:color="auto"/>
        <w:right w:val="none" w:sz="0" w:space="0" w:color="auto"/>
      </w:divBdr>
    </w:div>
    <w:div w:id="1330983417">
      <w:bodyDiv w:val="1"/>
      <w:marLeft w:val="0"/>
      <w:marRight w:val="0"/>
      <w:marTop w:val="0"/>
      <w:marBottom w:val="0"/>
      <w:divBdr>
        <w:top w:val="none" w:sz="0" w:space="0" w:color="auto"/>
        <w:left w:val="none" w:sz="0" w:space="0" w:color="auto"/>
        <w:bottom w:val="none" w:sz="0" w:space="0" w:color="auto"/>
        <w:right w:val="none" w:sz="0" w:space="0" w:color="auto"/>
      </w:divBdr>
    </w:div>
    <w:div w:id="1481652649">
      <w:bodyDiv w:val="1"/>
      <w:marLeft w:val="0"/>
      <w:marRight w:val="0"/>
      <w:marTop w:val="0"/>
      <w:marBottom w:val="0"/>
      <w:divBdr>
        <w:top w:val="none" w:sz="0" w:space="0" w:color="auto"/>
        <w:left w:val="none" w:sz="0" w:space="0" w:color="auto"/>
        <w:bottom w:val="none" w:sz="0" w:space="0" w:color="auto"/>
        <w:right w:val="none" w:sz="0" w:space="0" w:color="auto"/>
      </w:divBdr>
    </w:div>
    <w:div w:id="1505588670">
      <w:bodyDiv w:val="1"/>
      <w:marLeft w:val="0"/>
      <w:marRight w:val="0"/>
      <w:marTop w:val="0"/>
      <w:marBottom w:val="0"/>
      <w:divBdr>
        <w:top w:val="none" w:sz="0" w:space="0" w:color="auto"/>
        <w:left w:val="none" w:sz="0" w:space="0" w:color="auto"/>
        <w:bottom w:val="none" w:sz="0" w:space="0" w:color="auto"/>
        <w:right w:val="none" w:sz="0" w:space="0" w:color="auto"/>
      </w:divBdr>
    </w:div>
    <w:div w:id="1537815783">
      <w:bodyDiv w:val="1"/>
      <w:marLeft w:val="0"/>
      <w:marRight w:val="0"/>
      <w:marTop w:val="0"/>
      <w:marBottom w:val="0"/>
      <w:divBdr>
        <w:top w:val="none" w:sz="0" w:space="0" w:color="auto"/>
        <w:left w:val="none" w:sz="0" w:space="0" w:color="auto"/>
        <w:bottom w:val="none" w:sz="0" w:space="0" w:color="auto"/>
        <w:right w:val="none" w:sz="0" w:space="0" w:color="auto"/>
      </w:divBdr>
    </w:div>
    <w:div w:id="1876388952">
      <w:bodyDiv w:val="1"/>
      <w:marLeft w:val="0"/>
      <w:marRight w:val="0"/>
      <w:marTop w:val="0"/>
      <w:marBottom w:val="0"/>
      <w:divBdr>
        <w:top w:val="none" w:sz="0" w:space="0" w:color="auto"/>
        <w:left w:val="none" w:sz="0" w:space="0" w:color="auto"/>
        <w:bottom w:val="none" w:sz="0" w:space="0" w:color="auto"/>
        <w:right w:val="none" w:sz="0" w:space="0" w:color="auto"/>
      </w:divBdr>
    </w:div>
    <w:div w:id="1959991069">
      <w:bodyDiv w:val="1"/>
      <w:marLeft w:val="0"/>
      <w:marRight w:val="0"/>
      <w:marTop w:val="0"/>
      <w:marBottom w:val="0"/>
      <w:divBdr>
        <w:top w:val="none" w:sz="0" w:space="0" w:color="auto"/>
        <w:left w:val="none" w:sz="0" w:space="0" w:color="auto"/>
        <w:bottom w:val="none" w:sz="0" w:space="0" w:color="auto"/>
        <w:right w:val="none" w:sz="0" w:space="0" w:color="auto"/>
      </w:divBdr>
    </w:div>
    <w:div w:id="1972517051">
      <w:bodyDiv w:val="1"/>
      <w:marLeft w:val="0"/>
      <w:marRight w:val="0"/>
      <w:marTop w:val="0"/>
      <w:marBottom w:val="0"/>
      <w:divBdr>
        <w:top w:val="none" w:sz="0" w:space="0" w:color="auto"/>
        <w:left w:val="none" w:sz="0" w:space="0" w:color="auto"/>
        <w:bottom w:val="none" w:sz="0" w:space="0" w:color="auto"/>
        <w:right w:val="none" w:sz="0" w:space="0" w:color="auto"/>
      </w:divBdr>
    </w:div>
    <w:div w:id="205855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1474</Words>
  <Characters>8405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KPMG</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Montagnier, Astrid</dc:creator>
  <cp:keywords/>
  <dc:description/>
  <cp:lastModifiedBy>Thomas Verdin</cp:lastModifiedBy>
  <cp:revision>3</cp:revision>
  <dcterms:created xsi:type="dcterms:W3CDTF">2025-07-22T09:39:00Z</dcterms:created>
  <dcterms:modified xsi:type="dcterms:W3CDTF">2025-07-22T09:41:00Z</dcterms:modified>
  <cp:category>KPMG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onfidential">
    <vt:lpwstr>KPMG Public</vt:lpwstr>
  </property>
  <property fmtid="{D5CDD505-2E9C-101B-9397-08002B2CF9AE}" pid="3" name="KISConfidentialDesc">
    <vt:lpwstr/>
  </property>
</Properties>
</file>